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 /><Relationship Id="rId2" Type="http://schemas.openxmlformats.org/package/2006/relationships/metadata/thumbnail" Target="docProps/thumbnail.jpeg" /><Relationship Id="rId1" Type="http://schemas.openxmlformats.org/officeDocument/2006/relationships/officeDocument" Target="word/document.xml" /><Relationship Id="rId4"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5B284" w14:textId="1A970771" w:rsidR="00722D96" w:rsidRPr="00486EE4" w:rsidRDefault="00197569" w:rsidP="00486EE4">
      <w:pPr>
        <w:pStyle w:val="Titre1"/>
        <w:jc w:val="center"/>
        <w:rPr>
          <w:b w:val="0"/>
        </w:rPr>
      </w:pPr>
      <w:r>
        <w:rPr>
          <w:b w:val="0"/>
        </w:rPr>
        <w:t xml:space="preserve">COMMISSION DES LOIS </w:t>
      </w:r>
    </w:p>
    <w:p w14:paraId="474BF17A" w14:textId="4FC16D1A" w:rsidR="00677AAF" w:rsidRDefault="00197569">
      <w:pPr>
        <w:jc w:val="center"/>
      </w:pPr>
      <w:r>
        <w:t xml:space="preserve">PPL 2312 </w:t>
      </w:r>
    </w:p>
    <w:p w14:paraId="3BADA9C7" w14:textId="0248E1E1" w:rsidR="00677AAF" w:rsidRDefault="00197569">
      <w:r>
        <w:rPr>
          <w:b/>
        </w:rPr>
        <w:t>Audrey Kermalvezen - Gauvin Fournis</w:t>
      </w:r>
      <w:r w:rsidR="00481A9B">
        <w:rPr>
          <w:b/>
        </w:rPr>
        <w:t>.</w:t>
      </w:r>
      <w:r>
        <w:rPr>
          <w:b/>
        </w:rPr>
        <w:t xml:space="preserve"> </w:t>
      </w:r>
      <w:r>
        <w:t>Je suis avocate de formation, et juriste en droit de la bioéthique.</w:t>
      </w:r>
    </w:p>
    <w:p w14:paraId="1056FCC1" w14:textId="77777777" w:rsidR="00677AAF" w:rsidRDefault="00197569">
      <w:r>
        <w:t xml:space="preserve">J’ai cofondé, avec mon mari Arthur Kermalvezen, </w:t>
      </w:r>
      <w:r>
        <w:rPr>
          <w:b/>
        </w:rPr>
        <w:t>l’association Origines</w:t>
      </w:r>
      <w:r>
        <w:t>, dont l’objet est de faire avancer le droit à la connaissance des origines pour toute personne.</w:t>
      </w:r>
    </w:p>
    <w:p w14:paraId="742B3A32" w14:textId="77777777" w:rsidR="00677AAF" w:rsidRDefault="00197569">
      <w:r>
        <w:t>Mon mari et moi sommes nous-mêmes issus d’une PMA avec tiers donneur.</w:t>
      </w:r>
    </w:p>
    <w:p w14:paraId="3964984F" w14:textId="77777777" w:rsidR="00677AAF" w:rsidRDefault="00197569">
      <w:r w:rsidRPr="004244F7">
        <w:rPr>
          <w:b/>
          <w:bCs/>
        </w:rPr>
        <w:t>Arthur est le premier Français à avoir retrouvé son donneur grâce à un test ADN : c’était en 2017.</w:t>
      </w:r>
      <w:r>
        <w:t xml:space="preserve"> Et je suis la première personne issue de don à avoir saisi, en 2010, les juridictions françaises, puis en 2016 la Cour européenne des droits de l’homme, d’une demande d’accès à mes origines.</w:t>
      </w:r>
    </w:p>
    <w:p w14:paraId="6333EA2F" w14:textId="77777777" w:rsidR="00677AAF" w:rsidRDefault="00197569">
      <w:r>
        <w:t xml:space="preserve">Depuis, comme vous le savez, la loi française a changé, </w:t>
      </w:r>
      <w:r>
        <w:rPr>
          <w:b/>
        </w:rPr>
        <w:t>mais la situation demeure non résolue pour les 100 000 personnes déjà nées d’un don.</w:t>
      </w:r>
    </w:p>
    <w:p w14:paraId="59AC04F5" w14:textId="1218A443" w:rsidR="00677AAF" w:rsidRDefault="00677AAF">
      <w:pPr>
        <w:pStyle w:val="Pause"/>
      </w:pPr>
    </w:p>
    <w:p w14:paraId="37471CD2" w14:textId="77777777" w:rsidR="00677AAF" w:rsidRDefault="00197569">
      <w:r>
        <w:t>Notre association s’adresse plus largement à toutes les personnes privées de leurs origines : personnes nées sous X, pupilles de l’État, personnes issues d’un don, ou tout simplement personnes qui ne connaissent pas leur histoire.</w:t>
      </w:r>
    </w:p>
    <w:p w14:paraId="3E297AC2" w14:textId="77777777" w:rsidR="00677AAF" w:rsidRDefault="00197569">
      <w:r>
        <w:t xml:space="preserve">Nous avons la chance de travailler régulièrement avec le </w:t>
      </w:r>
      <w:r>
        <w:rPr>
          <w:b/>
        </w:rPr>
        <w:t>Comité des droits de l’enfant des Nations unies.</w:t>
      </w:r>
      <w:r>
        <w:t xml:space="preserve"> À ce titre, nous nous appuyons notamment sur l’article 7 de la Convention internationale des droits de l’enfant, qui prévoit que l’enfant a le droit, dans la mesure du possible, de connaître ses parents - notion qui inclut, selon une interprétation reconnue, les parents biologiques.</w:t>
      </w:r>
    </w:p>
    <w:p w14:paraId="58572F7B" w14:textId="77777777" w:rsidR="00677AAF" w:rsidRDefault="00197569">
      <w:r>
        <w:t xml:space="preserve">Nous sommes également engagés au niveau du </w:t>
      </w:r>
      <w:r>
        <w:rPr>
          <w:b/>
        </w:rPr>
        <w:t>Conseil de l’Europe</w:t>
      </w:r>
      <w:r>
        <w:t>, dans le cadre de l’élaboration d’une recommandation attendue pour 2027.</w:t>
      </w:r>
    </w:p>
    <w:p w14:paraId="23C554B5" w14:textId="77777777" w:rsidR="00677AAF" w:rsidRDefault="00197569">
      <w:r>
        <w:t>Enfin, nous sommes en lien avec de nombreuses associations homologues en Europe : au Royaume-Uni, en Belgique, en Allemagne, aux Pays-Bas, en Suisse…</w:t>
      </w:r>
    </w:p>
    <w:p w14:paraId="644F611E" w14:textId="0E8E3662" w:rsidR="00677AAF" w:rsidRDefault="00197569">
      <w:r>
        <w:t xml:space="preserve">Le droit de connaître l’identité de ses géniteurs, tiré de l’article 8 de la Convention européenne des droits de l’homme, qui vise « </w:t>
      </w:r>
      <w:r w:rsidRPr="00826411">
        <w:rPr>
          <w:b/>
          <w:bCs/>
        </w:rPr>
        <w:t xml:space="preserve">toute personne </w:t>
      </w:r>
      <w:r>
        <w:t>», est très régulièrement réaffirmé par la Cour européenne des droits de l’homme</w:t>
      </w:r>
      <w:r w:rsidR="00826411">
        <w:t xml:space="preserve"> :</w:t>
      </w:r>
    </w:p>
    <w:p w14:paraId="75F5E872" w14:textId="77777777" w:rsidR="00826411" w:rsidRDefault="00826411" w:rsidP="00826411">
      <w:pPr>
        <w:pStyle w:val="Paragraphedeliste"/>
        <w:numPr>
          <w:ilvl w:val="0"/>
          <w:numId w:val="12"/>
        </w:numPr>
        <w:jc w:val="both"/>
        <w:rPr>
          <w:rFonts w:asciiTheme="minorHAnsi" w:hAnsiTheme="minorHAnsi" w:cstheme="minorHAnsi"/>
          <w:color w:val="000000" w:themeColor="text1"/>
          <w:sz w:val="22"/>
          <w:lang w:val="fr-FR"/>
        </w:rPr>
      </w:pPr>
      <w:r w:rsidRPr="00C82F97">
        <w:rPr>
          <w:rFonts w:asciiTheme="minorHAnsi" w:hAnsiTheme="minorHAnsi" w:cstheme="minorHAnsi"/>
          <w:color w:val="000000" w:themeColor="text1"/>
          <w:sz w:val="22"/>
          <w:lang w:val="fr-FR"/>
        </w:rPr>
        <w:t xml:space="preserve">« l'établissement des détails de son identité d'être humain et </w:t>
      </w:r>
      <w:r w:rsidRPr="00C82F97">
        <w:rPr>
          <w:rFonts w:asciiTheme="minorHAnsi" w:hAnsiTheme="minorHAnsi" w:cstheme="minorHAnsi"/>
          <w:b/>
          <w:bCs/>
          <w:color w:val="000000" w:themeColor="text1"/>
          <w:sz w:val="22"/>
          <w:lang w:val="fr-FR"/>
        </w:rPr>
        <w:t>l'intérêt vital</w:t>
      </w:r>
      <w:r w:rsidRPr="00C82F97">
        <w:rPr>
          <w:rFonts w:asciiTheme="minorHAnsi" w:hAnsiTheme="minorHAnsi" w:cstheme="minorHAnsi"/>
          <w:color w:val="000000" w:themeColor="text1"/>
          <w:sz w:val="22"/>
          <w:lang w:val="fr-FR"/>
        </w:rPr>
        <w:t xml:space="preserve">, protégé par la Convention, à obtenir des informations nécessaires à la découverte de la vérité concernant un aspect important de son identité personnelle, par exemple </w:t>
      </w:r>
      <w:r w:rsidRPr="00C82F97">
        <w:rPr>
          <w:rFonts w:asciiTheme="minorHAnsi" w:hAnsiTheme="minorHAnsi" w:cstheme="minorHAnsi"/>
          <w:b/>
          <w:bCs/>
          <w:color w:val="000000" w:themeColor="text1"/>
          <w:sz w:val="22"/>
          <w:lang w:val="fr-FR"/>
        </w:rPr>
        <w:t>l'identité de ses géniteurs</w:t>
      </w:r>
      <w:r w:rsidRPr="00C82F97">
        <w:rPr>
          <w:rFonts w:asciiTheme="minorHAnsi" w:hAnsiTheme="minorHAnsi" w:cstheme="minorHAnsi"/>
          <w:color w:val="000000" w:themeColor="text1"/>
          <w:sz w:val="22"/>
          <w:lang w:val="fr-FR"/>
        </w:rPr>
        <w:t xml:space="preserve"> (Arrêt Mikulić c. Croatie, no 53176/99, §§ 54 et 64, CEDH 2002-I)</w:t>
      </w:r>
      <w:r>
        <w:rPr>
          <w:rFonts w:asciiTheme="minorHAnsi" w:hAnsiTheme="minorHAnsi" w:cstheme="minorHAnsi"/>
          <w:color w:val="000000" w:themeColor="text1"/>
          <w:sz w:val="22"/>
          <w:lang w:val="fr-FR"/>
        </w:rPr>
        <w:t> ;</w:t>
      </w:r>
    </w:p>
    <w:p w14:paraId="75E350E0" w14:textId="77777777" w:rsidR="00826411" w:rsidRDefault="00826411" w:rsidP="007E4DBC">
      <w:pPr>
        <w:pStyle w:val="Paragraphedeliste"/>
        <w:jc w:val="both"/>
        <w:rPr>
          <w:rFonts w:asciiTheme="minorHAnsi" w:hAnsiTheme="minorHAnsi" w:cstheme="minorHAnsi"/>
          <w:color w:val="000000" w:themeColor="text1"/>
          <w:sz w:val="22"/>
          <w:lang w:val="fr-FR"/>
        </w:rPr>
      </w:pPr>
    </w:p>
    <w:p w14:paraId="2CA29E22" w14:textId="77777777" w:rsidR="00826411" w:rsidRDefault="00826411" w:rsidP="00826411">
      <w:pPr>
        <w:pStyle w:val="Paragraphedeliste"/>
        <w:numPr>
          <w:ilvl w:val="0"/>
          <w:numId w:val="12"/>
        </w:numPr>
        <w:jc w:val="both"/>
        <w:rPr>
          <w:rFonts w:asciiTheme="minorHAnsi" w:hAnsiTheme="minorHAnsi" w:cstheme="minorHAnsi"/>
          <w:color w:val="000000" w:themeColor="text1"/>
          <w:sz w:val="22"/>
          <w:lang w:val="fr-FR"/>
        </w:rPr>
      </w:pPr>
      <w:r w:rsidRPr="00C82F97">
        <w:rPr>
          <w:rFonts w:asciiTheme="minorHAnsi" w:hAnsiTheme="minorHAnsi" w:cstheme="minorHAnsi"/>
          <w:color w:val="000000" w:themeColor="text1"/>
          <w:sz w:val="22"/>
          <w:lang w:val="fr-FR"/>
        </w:rPr>
        <w:t xml:space="preserve">le </w:t>
      </w:r>
      <w:r w:rsidRPr="00C82F97">
        <w:rPr>
          <w:rFonts w:asciiTheme="minorHAnsi" w:hAnsiTheme="minorHAnsi" w:cstheme="minorHAnsi"/>
          <w:b/>
          <w:bCs/>
          <w:color w:val="000000" w:themeColor="text1"/>
          <w:sz w:val="22"/>
          <w:lang w:val="fr-FR"/>
        </w:rPr>
        <w:t>droit à l'identité</w:t>
      </w:r>
      <w:r w:rsidRPr="00C82F97">
        <w:rPr>
          <w:rFonts w:asciiTheme="minorHAnsi" w:hAnsiTheme="minorHAnsi" w:cstheme="minorHAnsi"/>
          <w:color w:val="000000" w:themeColor="text1"/>
          <w:sz w:val="22"/>
          <w:lang w:val="fr-FR"/>
        </w:rPr>
        <w:t xml:space="preserve"> et à l'épanouissement personnel et celui de nouer</w:t>
      </w:r>
      <w:r w:rsidRPr="00826411">
        <w:rPr>
          <w:rFonts w:asciiTheme="minorHAnsi" w:hAnsiTheme="minorHAnsi" w:cstheme="minorHAnsi"/>
          <w:b/>
          <w:bCs/>
          <w:color w:val="000000" w:themeColor="text1"/>
          <w:sz w:val="22"/>
          <w:lang w:val="fr-FR"/>
        </w:rPr>
        <w:t xml:space="preserve"> et de développer des relations avec ses semblables</w:t>
      </w:r>
      <w:r w:rsidRPr="00C82F97">
        <w:rPr>
          <w:rFonts w:asciiTheme="minorHAnsi" w:hAnsiTheme="minorHAnsi" w:cstheme="minorHAnsi"/>
          <w:color w:val="000000" w:themeColor="text1"/>
          <w:sz w:val="22"/>
          <w:lang w:val="fr-FR"/>
        </w:rPr>
        <w:t xml:space="preserve"> et le monde extérieur (Arrêt Friedl c. Autriche, arrêt du 31 janvier 1995, Série A n°305-B, opinion de la Commission, p. 20, § 45)</w:t>
      </w:r>
      <w:r>
        <w:rPr>
          <w:rFonts w:asciiTheme="minorHAnsi" w:hAnsiTheme="minorHAnsi" w:cstheme="minorHAnsi"/>
          <w:color w:val="000000" w:themeColor="text1"/>
          <w:sz w:val="22"/>
          <w:lang w:val="fr-FR"/>
        </w:rPr>
        <w:t> ;</w:t>
      </w:r>
    </w:p>
    <w:p w14:paraId="75994275" w14:textId="77777777" w:rsidR="00826411" w:rsidRDefault="00826411" w:rsidP="007E4DBC">
      <w:pPr>
        <w:pStyle w:val="Paragraphedeliste"/>
        <w:jc w:val="both"/>
        <w:rPr>
          <w:rFonts w:asciiTheme="minorHAnsi" w:hAnsiTheme="minorHAnsi" w:cstheme="minorHAnsi"/>
          <w:color w:val="000000" w:themeColor="text1"/>
          <w:sz w:val="22"/>
          <w:lang w:val="fr-FR"/>
        </w:rPr>
      </w:pPr>
    </w:p>
    <w:p w14:paraId="139786FB" w14:textId="77777777" w:rsidR="00826411" w:rsidRPr="00C82F97" w:rsidRDefault="00826411" w:rsidP="00826411">
      <w:pPr>
        <w:pStyle w:val="Paragraphedeliste"/>
        <w:numPr>
          <w:ilvl w:val="0"/>
          <w:numId w:val="12"/>
        </w:numPr>
        <w:jc w:val="both"/>
        <w:rPr>
          <w:rFonts w:asciiTheme="minorHAnsi" w:hAnsiTheme="minorHAnsi" w:cstheme="minorHAnsi"/>
          <w:color w:val="000000" w:themeColor="text1"/>
          <w:sz w:val="22"/>
          <w:lang w:val="fr-FR"/>
        </w:rPr>
      </w:pPr>
      <w:r w:rsidRPr="00C82F97">
        <w:rPr>
          <w:rFonts w:asciiTheme="minorHAnsi" w:hAnsiTheme="minorHAnsi" w:cstheme="minorHAnsi"/>
          <w:color w:val="000000" w:themeColor="text1"/>
          <w:sz w:val="22"/>
          <w:lang w:val="fr-FR"/>
        </w:rPr>
        <w:t xml:space="preserve">« La naissance, et singulièrement les circonstances de celle-ci relève de la </w:t>
      </w:r>
      <w:r w:rsidRPr="00C82F97">
        <w:rPr>
          <w:rFonts w:asciiTheme="minorHAnsi" w:hAnsiTheme="minorHAnsi" w:cstheme="minorHAnsi"/>
          <w:b/>
          <w:bCs/>
          <w:color w:val="000000" w:themeColor="text1"/>
          <w:sz w:val="22"/>
          <w:lang w:val="fr-FR"/>
        </w:rPr>
        <w:t>vie privée de l'enfant, puis de l'adulte</w:t>
      </w:r>
      <w:r w:rsidRPr="00C82F97">
        <w:rPr>
          <w:rFonts w:asciiTheme="minorHAnsi" w:hAnsiTheme="minorHAnsi" w:cstheme="minorHAnsi"/>
          <w:color w:val="000000" w:themeColor="text1"/>
          <w:sz w:val="22"/>
          <w:lang w:val="fr-FR"/>
        </w:rPr>
        <w:t>, garantie par l'article 8 de la Convention » (Arrêt Odièvre c. France, 13 février 2003, § 29).</w:t>
      </w:r>
    </w:p>
    <w:p w14:paraId="544DB309" w14:textId="28E3D0B7" w:rsidR="00677AAF" w:rsidRDefault="00677AAF">
      <w:pPr>
        <w:pStyle w:val="Pause"/>
      </w:pPr>
    </w:p>
    <w:p w14:paraId="43DA32C4" w14:textId="77777777" w:rsidR="00677AAF" w:rsidRDefault="00197569">
      <w:r>
        <w:rPr>
          <w:b/>
        </w:rPr>
        <w:t xml:space="preserve">Pour être très claire, mon propos s’articulera en trois temps. </w:t>
      </w:r>
      <w:r>
        <w:t>D’abord, je vous montrerai que le droit actuel laisse de nombreuses personnes sans aucune solution. Ensuite, que les dispositifs existants sont largement inefficaces. Enfin, je vous expliquerai pourquoi la légalisation des tests ADN constitue aujourd’hui la réponse la plus protectrice et la plus réaliste.</w:t>
      </w:r>
    </w:p>
    <w:p w14:paraId="24DA6285" w14:textId="77777777" w:rsidR="00677AAF" w:rsidRDefault="00197569">
      <w:pPr>
        <w:pStyle w:val="Titre2"/>
      </w:pPr>
      <w:r>
        <w:t>I. Une partie des personnes exclue de tout dispositif</w:t>
      </w:r>
    </w:p>
    <w:p w14:paraId="69024F92" w14:textId="77777777" w:rsidR="00677AAF" w:rsidRDefault="00197569">
      <w:r>
        <w:rPr>
          <w:b/>
        </w:rPr>
        <w:t xml:space="preserve">Je commencerai donc par un constat simple. </w:t>
      </w:r>
      <w:r>
        <w:t>Aujourd’hui, de nombreuses personnes privées de leurs origines ne relèvent d’aucun cadre public : personnes ayant fait l’objet d’une adoption internationale, d’une PMA avec donneur dans un autre État - par exemple en Belgique ou en Espagne - ou dans un cabinet gynécologique français privé, pratique répandue avant les premières lois de bioéthique de 1994, ou encore personnes conçues naturellement mais qui ne connaissent pas un pan de leur histoire.</w:t>
      </w:r>
    </w:p>
    <w:p w14:paraId="18B38A47" w14:textId="77777777" w:rsidR="00677AAF" w:rsidRDefault="00197569">
      <w:pPr>
        <w:spacing w:before="60"/>
        <w:ind w:left="360"/>
      </w:pPr>
      <w:r>
        <w:rPr>
          <w:b/>
          <w:i/>
        </w:rPr>
        <w:t>Pour ces personnes : il n’existe rien.</w:t>
      </w:r>
    </w:p>
    <w:p w14:paraId="3ACC9165" w14:textId="77B8B286" w:rsidR="00677AAF" w:rsidRDefault="00197569">
      <w:r>
        <w:rPr>
          <w:b/>
        </w:rPr>
        <w:t xml:space="preserve">Mais même pour les personnes </w:t>
      </w:r>
      <w:r w:rsidR="004244F7">
        <w:rPr>
          <w:b/>
        </w:rPr>
        <w:t>oour lesquelles de</w:t>
      </w:r>
      <w:r>
        <w:rPr>
          <w:b/>
        </w:rPr>
        <w:t>s dispositifs</w:t>
      </w:r>
      <w:r w:rsidR="00DF1D5E">
        <w:rPr>
          <w:b/>
        </w:rPr>
        <w:t xml:space="preserve"> publics ont été crées la, </w:t>
      </w:r>
      <w:r>
        <w:rPr>
          <w:b/>
        </w:rPr>
        <w:t>la situation n’est pas satisfaisante.</w:t>
      </w:r>
    </w:p>
    <w:p w14:paraId="54F2B418" w14:textId="77777777" w:rsidR="00677AAF" w:rsidRDefault="00197569">
      <w:pPr>
        <w:pStyle w:val="Titre2"/>
      </w:pPr>
      <w:r>
        <w:t>II. Des dispositifs existants inefficaces</w:t>
      </w:r>
    </w:p>
    <w:p w14:paraId="7DF3E5D7" w14:textId="77777777" w:rsidR="00677AAF" w:rsidRDefault="00197569">
      <w:r>
        <w:t>Les chiffres sont sans appel.</w:t>
      </w:r>
    </w:p>
    <w:p w14:paraId="10C5633E" w14:textId="027AA014" w:rsidR="00677AAF" w:rsidRDefault="00197569">
      <w:pPr>
        <w:pStyle w:val="Listepuces"/>
      </w:pPr>
      <w:r>
        <w:rPr>
          <w:b/>
        </w:rPr>
        <w:t xml:space="preserve">CNAOP : </w:t>
      </w:r>
      <w:r>
        <w:t xml:space="preserve">42 % d’échec à retrouver </w:t>
      </w:r>
      <w:r w:rsidR="009C2FE2">
        <w:t>au moins un p</w:t>
      </w:r>
      <w:r>
        <w:t>arent</w:t>
      </w:r>
      <w:r w:rsidR="009C2FE2">
        <w:t xml:space="preserve"> de naissance.</w:t>
      </w:r>
    </w:p>
    <w:p w14:paraId="7F7CF7D8" w14:textId="646D24B2" w:rsidR="00677AAF" w:rsidRDefault="00197569">
      <w:pPr>
        <w:pStyle w:val="Listepuces"/>
      </w:pPr>
      <w:r>
        <w:rPr>
          <w:b/>
        </w:rPr>
        <w:t xml:space="preserve">CAPADD : </w:t>
      </w:r>
      <w:r>
        <w:t>près de 60 % des donneurs non retrouvés</w:t>
      </w:r>
      <w:r w:rsidR="00C773A0">
        <w:t xml:space="preserve"> (seuls 341 donneurs</w:t>
      </w:r>
      <w:r w:rsidR="00445542">
        <w:t xml:space="preserve"> ont été </w:t>
      </w:r>
      <w:r w:rsidR="00C773A0">
        <w:t>identifiés</w:t>
      </w:r>
      <w:r w:rsidR="00445542">
        <w:t xml:space="preserve"> et ont pu être interrogés</w:t>
      </w:r>
      <w:r w:rsidR="00C773A0">
        <w:t xml:space="preserve"> sur 807 demandes recevables, </w:t>
      </w:r>
      <w:r w:rsidR="00002DCC">
        <w:t>qui ont abouti à</w:t>
      </w:r>
      <w:r w:rsidR="00C773A0">
        <w:t xml:space="preserve"> 90</w:t>
      </w:r>
      <w:r w:rsidR="00002DCC">
        <w:t xml:space="preserve"> réponses de communication de données identifiantes et/ou non identifiantes)</w:t>
      </w:r>
    </w:p>
    <w:p w14:paraId="5945A1B8" w14:textId="2D1BCB5A" w:rsidR="00677AAF" w:rsidRDefault="00DF1D5E">
      <w:r>
        <w:t xml:space="preserve">Au final, quand on saisit ces organismes, on a </w:t>
      </w:r>
      <w:r w:rsidR="004E04E4">
        <w:t xml:space="preserve">9 chances sur 10 d'échouer. En effet, il ressort des derniers rapports d'activité du CNAOP et de la CAPADD qu’ils ne parviennent à une levée du secret de </w:t>
      </w:r>
      <w:r w:rsidR="00CF5503">
        <w:t>l’identité que dans 11 % des cas.</w:t>
      </w:r>
    </w:p>
    <w:p w14:paraId="3E9897EE" w14:textId="0600F10B" w:rsidR="00CF5503" w:rsidRDefault="00CF5503">
      <w:r>
        <w:t>Au sein de l’association Origines nous avons 95% de réussite grâce aux tests ADN.</w:t>
      </w:r>
      <w:r w:rsidR="00445542">
        <w:t xml:space="preserve"> Et pour les 5% restant ce n'est sans doute qu'une question de temps.</w:t>
      </w:r>
    </w:p>
    <w:p w14:paraId="5F59EC61" w14:textId="77777777" w:rsidR="00677AAF" w:rsidRDefault="00197569">
      <w:pPr>
        <w:spacing w:before="60"/>
        <w:ind w:left="360"/>
      </w:pPr>
      <w:r>
        <w:rPr>
          <w:b/>
          <w:i/>
        </w:rPr>
        <w:t>La comparaison est sans appel.</w:t>
      </w:r>
    </w:p>
    <w:p w14:paraId="17CE2B98" w14:textId="77777777" w:rsidR="00677AAF" w:rsidRDefault="00197569">
      <w:r>
        <w:rPr>
          <w:b/>
        </w:rPr>
        <w:t>Dès lors, la question n’est plus seulement celle de l’existence du droit, mais de son effectivité.</w:t>
      </w:r>
    </w:p>
    <w:p w14:paraId="5B6B1E57" w14:textId="4A92C1B3" w:rsidR="00677AAF" w:rsidRDefault="00FC03F3">
      <w:pPr>
        <w:pStyle w:val="Titre2"/>
      </w:pPr>
      <w:r>
        <w:t>IIL</w:t>
      </w:r>
      <w:r w:rsidR="00197569">
        <w:t xml:space="preserve"> interdiction n’est pas seulement inefficace, elle est dangereuse</w:t>
      </w:r>
    </w:p>
    <w:p w14:paraId="3777CB52" w14:textId="77777777" w:rsidR="00677AAF" w:rsidRDefault="00197569">
      <w:r>
        <w:t>La France est le seul pays en Europe à faire du recours à ces tests une infraction pénale.</w:t>
      </w:r>
    </w:p>
    <w:p w14:paraId="09BFC8DB" w14:textId="77777777" w:rsidR="00677AAF" w:rsidRDefault="00197569">
      <w:r>
        <w:t>Ceux qui craignent que la légalisation revienne à ouvrir la « boîte de Pandore » peuvent justement se référer à nos voisins européens et constater qu’aucune des catastrophes annoncées ne s’est produite.</w:t>
      </w:r>
    </w:p>
    <w:p w14:paraId="1D8938A7" w14:textId="77777777" w:rsidR="00677AAF" w:rsidRDefault="00197569">
      <w:r>
        <w:rPr>
          <w:b/>
        </w:rPr>
        <w:t>La balance bénéfice-risque plaide clairement en faveur de la légalisation des tests ADN.</w:t>
      </w:r>
    </w:p>
    <w:p w14:paraId="1EA9B435" w14:textId="070C2E72" w:rsidR="00677AAF" w:rsidRDefault="00197569" w:rsidP="00815120">
      <w:r>
        <w:t>L’interdiction empêche d’encadrer et d’accompagner. Elle ne supprime pas la pratique : elle la rend invisible.</w:t>
      </w:r>
    </w:p>
    <w:p w14:paraId="6F73183D" w14:textId="77777777" w:rsidR="00677AAF" w:rsidRDefault="00197569">
      <w:pPr>
        <w:pStyle w:val="Titre2"/>
      </w:pPr>
      <w:r>
        <w:t>IV. Légaliser pour protéger</w:t>
      </w:r>
    </w:p>
    <w:p w14:paraId="2D75C4D6" w14:textId="77777777" w:rsidR="00677AAF" w:rsidRDefault="00197569">
      <w:r>
        <w:rPr>
          <w:b/>
        </w:rPr>
        <w:t xml:space="preserve">Cette légalisation présente deux avantages majeurs. </w:t>
      </w:r>
      <w:r>
        <w:t>D’une part, elle permettrait d’imposer aux entreprises étrangères le respect du RGPD. D’autre part, elle permettrait de sécuriser concrètement l’usage des données.</w:t>
      </w:r>
    </w:p>
    <w:p w14:paraId="1A0D1625" w14:textId="77777777" w:rsidR="00677AAF" w:rsidRDefault="00197569">
      <w:pPr>
        <w:pStyle w:val="Titre3"/>
      </w:pPr>
      <w:r>
        <w:t>4.1. Imposer aux entreprises étrangères le respect du RGPD</w:t>
      </w:r>
    </w:p>
    <w:p w14:paraId="0317391A" w14:textId="4A26728B" w:rsidR="00677AAF" w:rsidRDefault="00197569">
      <w:r>
        <w:t>Le RGPD s’applique</w:t>
      </w:r>
      <w:r w:rsidR="00815120">
        <w:t xml:space="preserve"> même aux entreprises extra-européennes</w:t>
      </w:r>
      <w:r>
        <w:t xml:space="preserve"> dès lors qu’il est possible d’établir une intention d’offrir des biens ou services à des personnes situées dans l’Union européenne, au moyen d’un faisceau d’indices.</w:t>
      </w:r>
    </w:p>
    <w:p w14:paraId="2CF63BA4" w14:textId="77777777" w:rsidR="00677AAF" w:rsidRDefault="00197569">
      <w:r>
        <w:t>Les facteurs pertinents sont notamment :</w:t>
      </w:r>
    </w:p>
    <w:p w14:paraId="7D5AC7F6" w14:textId="77777777" w:rsidR="00677AAF" w:rsidRDefault="00197569">
      <w:pPr>
        <w:pStyle w:val="Listepuces"/>
      </w:pPr>
      <w:r>
        <w:t>un site internet en langue locale, ici en français ;</w:t>
      </w:r>
    </w:p>
    <w:p w14:paraId="1EB620DB" w14:textId="77777777" w:rsidR="00677AAF" w:rsidRDefault="00197569">
      <w:pPr>
        <w:pStyle w:val="Listepuces"/>
      </w:pPr>
      <w:r>
        <w:t>des prix affichés en euros ;</w:t>
      </w:r>
    </w:p>
    <w:p w14:paraId="4C172808" w14:textId="77777777" w:rsidR="00677AAF" w:rsidRDefault="00197569">
      <w:pPr>
        <w:pStyle w:val="Listepuces"/>
      </w:pPr>
      <w:r>
        <w:t>la possibilité de livraison des produits ou services en France ;</w:t>
      </w:r>
    </w:p>
    <w:p w14:paraId="2F6796C5" w14:textId="63BEBF1D" w:rsidR="00677AAF" w:rsidRDefault="00197569">
      <w:pPr>
        <w:pStyle w:val="Listepuces"/>
      </w:pPr>
      <w:r>
        <w:t xml:space="preserve">une communication </w:t>
      </w:r>
      <w:r w:rsidR="001737E7">
        <w:t>ciblant</w:t>
      </w:r>
      <w:r>
        <w:t xml:space="preserve"> explicitement le public de l’Union européenne.</w:t>
      </w:r>
    </w:p>
    <w:p w14:paraId="340FD191" w14:textId="77777777" w:rsidR="00677AAF" w:rsidRDefault="00197569">
      <w:r>
        <w:t xml:space="preserve">Ces éléments sont issus du </w:t>
      </w:r>
      <w:r w:rsidRPr="001737E7">
        <w:rPr>
          <w:b/>
          <w:bCs/>
        </w:rPr>
        <w:t>considérant 23 du RGPD</w:t>
      </w:r>
      <w:r>
        <w:t xml:space="preserve">, de la jurisprudence de la Cour de justice de l’Union européenne - affaires </w:t>
      </w:r>
      <w:r w:rsidRPr="001737E7">
        <w:rPr>
          <w:b/>
          <w:bCs/>
        </w:rPr>
        <w:t>Pammer et Hotel Alpenhof</w:t>
      </w:r>
      <w:r>
        <w:t xml:space="preserve"> - ainsi que des lignes </w:t>
      </w:r>
      <w:r w:rsidRPr="001737E7">
        <w:rPr>
          <w:b/>
          <w:bCs/>
        </w:rPr>
        <w:t>directrices 3/2018 d</w:t>
      </w:r>
      <w:r>
        <w:t>u Comité européen de la protection des données.</w:t>
      </w:r>
    </w:p>
    <w:p w14:paraId="5DE784E3" w14:textId="67A83310" w:rsidR="00677AAF" w:rsidRDefault="00197569">
      <w:r>
        <w:t>En pratique : si une société américaine</w:t>
      </w:r>
      <w:r w:rsidR="0095114C">
        <w:t xml:space="preserve"> ou israélienne </w:t>
      </w:r>
      <w:r>
        <w:t xml:space="preserve">propose, par exemple, un service de </w:t>
      </w:r>
      <w:r w:rsidR="0095114C">
        <w:t>test AND d’origine</w:t>
      </w:r>
      <w:r>
        <w:t xml:space="preserve"> directement aux personnes se trouvant en France - site en français, paiement en euros, livraison de kits en France, publicités ciblant la France -, elle cible des personnes situées dans l’Union.</w:t>
      </w:r>
    </w:p>
    <w:p w14:paraId="15E1D0CF" w14:textId="77777777" w:rsidR="00677AAF" w:rsidRDefault="00197569">
      <w:r>
        <w:rPr>
          <w:b/>
        </w:rPr>
        <w:t>Dans ce cas, le RGPD s’applique à ce traitement, même si l’entreprise n’a aucun établissement dans l’Union européenne.</w:t>
      </w:r>
    </w:p>
    <w:p w14:paraId="75DB7BCF" w14:textId="6786EC12" w:rsidR="005A00AB" w:rsidRPr="005A00AB" w:rsidRDefault="00197569" w:rsidP="005A00AB">
      <w:r>
        <w:t xml:space="preserve">La proposition de loi 2312 prévoit expressément l’application du RGPD, mais ce n’était </w:t>
      </w:r>
      <w:r w:rsidR="005A00AB">
        <w:t>pas indispensable</w:t>
      </w:r>
      <w:r w:rsidR="00EA6D18">
        <w:t>.</w:t>
      </w:r>
    </w:p>
    <w:p w14:paraId="0D17FC4E" w14:textId="77777777" w:rsidR="00677AAF" w:rsidRDefault="00197569">
      <w:pPr>
        <w:pStyle w:val="Titre3"/>
      </w:pPr>
      <w:r>
        <w:t>4.2. Garantir des protections concrètes</w:t>
      </w:r>
    </w:p>
    <w:p w14:paraId="6C370311" w14:textId="77777777" w:rsidR="00677AAF" w:rsidRDefault="00197569">
      <w:r>
        <w:t>Le RGPD permettrait d’imposer un consentement éclairé, une finalité stricte, de limiter la durée de conservation des données et de sécuriser leur utilisation.</w:t>
      </w:r>
    </w:p>
    <w:p w14:paraId="157D8F00" w14:textId="77777777" w:rsidR="00677AAF" w:rsidRDefault="00197569">
      <w:r>
        <w:t>Il exige notamment une information concise, transparente, compréhensible et aisément accessible, en des termes clairs et simples.</w:t>
      </w:r>
    </w:p>
    <w:p w14:paraId="0CE3B52A" w14:textId="77777777" w:rsidR="00677AAF" w:rsidRDefault="00197569">
      <w:r>
        <w:t>Les tests ADN impliquent souvent des transferts de données vers des pays tiers, par exemple les États-Unis. Le RGPD encadre ces transferts : ils ne sont possibles que si le pays tiers offre un niveau de protection adéquat ou si des garanties appropriées sont mises en place, conformément aux articles 44 et suivants du RGPD.</w:t>
      </w:r>
    </w:p>
    <w:p w14:paraId="16A9CEA6" w14:textId="77777777" w:rsidR="00677AAF" w:rsidRDefault="00197569">
      <w:pPr>
        <w:spacing w:before="60"/>
        <w:ind w:left="360"/>
      </w:pPr>
      <w:r>
        <w:rPr>
          <w:b/>
          <w:i/>
        </w:rPr>
        <w:t>Légaliser, ce n’est donc pas créer un risque. C’est permettre enfin de le maîtriser.</w:t>
      </w:r>
    </w:p>
    <w:p w14:paraId="0B69673D" w14:textId="77777777" w:rsidR="00677AAF" w:rsidRDefault="00197569">
      <w:r>
        <w:rPr>
          <w:b/>
        </w:rPr>
        <w:t>Mais légaliser, ce n’est pas seulement protéger les données. C’est aussi accompagner les personnes.</w:t>
      </w:r>
    </w:p>
    <w:p w14:paraId="65AA33B9" w14:textId="77777777" w:rsidR="00677AAF" w:rsidRDefault="00197569">
      <w:pPr>
        <w:pStyle w:val="Titre2"/>
      </w:pPr>
      <w:r>
        <w:t>V. Légaliser pour accompagner</w:t>
      </w:r>
    </w:p>
    <w:p w14:paraId="4D8F329F" w14:textId="503FAA6E" w:rsidR="00677AAF" w:rsidRDefault="00197569">
      <w:r>
        <w:t>Nous proposons</w:t>
      </w:r>
      <w:r w:rsidR="00070C48">
        <w:t xml:space="preserve"> </w:t>
      </w:r>
      <w:r>
        <w:t>la création d’un centre d’accompagnement ouvert à tous ceux qui le souhaitent.</w:t>
      </w:r>
    </w:p>
    <w:p w14:paraId="0995E59E" w14:textId="77777777" w:rsidR="00677AAF" w:rsidRDefault="00197569">
      <w:r>
        <w:t>Sa composition serait pluridisciplinaire :</w:t>
      </w:r>
    </w:p>
    <w:p w14:paraId="5696886F" w14:textId="77777777" w:rsidR="00677AAF" w:rsidRDefault="00197569">
      <w:pPr>
        <w:pStyle w:val="Listepuces"/>
      </w:pPr>
      <w:r>
        <w:t>généalogistes ;</w:t>
      </w:r>
    </w:p>
    <w:p w14:paraId="67FCE057" w14:textId="77777777" w:rsidR="00677AAF" w:rsidRDefault="00197569">
      <w:pPr>
        <w:pStyle w:val="Listepuces"/>
      </w:pPr>
      <w:r>
        <w:t>généticiens ;</w:t>
      </w:r>
    </w:p>
    <w:p w14:paraId="6B375786" w14:textId="77777777" w:rsidR="00677AAF" w:rsidRDefault="00197569">
      <w:pPr>
        <w:pStyle w:val="Listepuces"/>
      </w:pPr>
      <w:r>
        <w:t>psychologues ;</w:t>
      </w:r>
    </w:p>
    <w:p w14:paraId="45259B6D" w14:textId="77777777" w:rsidR="00677AAF" w:rsidRDefault="00197569">
      <w:pPr>
        <w:pStyle w:val="Listepuces"/>
      </w:pPr>
      <w:r>
        <w:t>médiateurs.</w:t>
      </w:r>
    </w:p>
    <w:p w14:paraId="4EC88614" w14:textId="77777777" w:rsidR="00677AAF" w:rsidRDefault="00197569">
      <w:r>
        <w:t>Ce centre aurait pour missions :</w:t>
      </w:r>
    </w:p>
    <w:p w14:paraId="7DCC932A" w14:textId="1531D1BC" w:rsidR="00677AAF" w:rsidRDefault="00197569">
      <w:pPr>
        <w:pStyle w:val="Listepuces"/>
      </w:pPr>
      <w:r>
        <w:t xml:space="preserve">d’accompagner les démarches </w:t>
      </w:r>
      <w:r w:rsidR="00EA6D18">
        <w:t>(quand on découvre 1% ADN partagé avec une personne, il faut ensuite faire de la généalogie génétique pour remonter le fil jusqu’à l’ancêtre commun)</w:t>
      </w:r>
      <w:r w:rsidR="006606F7">
        <w:t xml:space="preserve"> ;</w:t>
      </w:r>
    </w:p>
    <w:p w14:paraId="2C36B3A9" w14:textId="77777777" w:rsidR="00677AAF" w:rsidRDefault="00197569">
      <w:pPr>
        <w:pStyle w:val="Listepuces"/>
      </w:pPr>
      <w:r>
        <w:t>d’aider à interpréter les résultats ;</w:t>
      </w:r>
    </w:p>
    <w:p w14:paraId="4997288B" w14:textId="77777777" w:rsidR="00677AAF" w:rsidRDefault="00197569">
      <w:pPr>
        <w:pStyle w:val="Listepuces"/>
      </w:pPr>
      <w:r>
        <w:t>de faciliter les mises en relation.</w:t>
      </w:r>
    </w:p>
    <w:p w14:paraId="30F8550A" w14:textId="4CAF6A3F" w:rsidR="00677AAF" w:rsidRDefault="00197569" w:rsidP="006606F7">
      <w:r>
        <w:t>Des centres de ce type existent en Belgique flamande et aux Pays-Bas.</w:t>
      </w:r>
    </w:p>
    <w:p w14:paraId="41E34124" w14:textId="77777777" w:rsidR="00677AAF" w:rsidRDefault="00197569">
      <w:r>
        <w:rPr>
          <w:b/>
        </w:rPr>
        <w:t>Pour autant, certaines solutions envisagées doivent être écartées.</w:t>
      </w:r>
    </w:p>
    <w:p w14:paraId="4646DA1E" w14:textId="77777777" w:rsidR="00677AAF" w:rsidRDefault="00197569">
      <w:pPr>
        <w:pStyle w:val="Titre2"/>
      </w:pPr>
      <w:r>
        <w:t>VI. Refuser les fausses bonnes idées</w:t>
      </w:r>
    </w:p>
    <w:p w14:paraId="272A9B26" w14:textId="77777777" w:rsidR="00677AAF" w:rsidRDefault="00197569">
      <w:r>
        <w:rPr>
          <w:b/>
        </w:rPr>
        <w:t>Imposer un prélèvement des cellules en laboratoire serait une erreur.</w:t>
      </w:r>
    </w:p>
    <w:p w14:paraId="288ECA03" w14:textId="77777777" w:rsidR="00677AAF" w:rsidRDefault="00197569">
      <w:r>
        <w:t>Le prélèvement est facile, pas plus compliqué qu’un test Covid.</w:t>
      </w:r>
    </w:p>
    <w:p w14:paraId="08E89A54" w14:textId="77777777" w:rsidR="00677AAF" w:rsidRDefault="00197569">
      <w:r>
        <w:t>Si le but est de contrôler que la personne testée est majeure et d’éviter qu’un parent teste son enfant sans son consentement, il faut être lucide : ces personnes pourront toujours commander un test en ligne.</w:t>
      </w:r>
    </w:p>
    <w:p w14:paraId="5E7535B2" w14:textId="77777777" w:rsidR="00677AAF" w:rsidRDefault="00197569">
      <w:r>
        <w:t>Elles ne représentent probablement qu’une infime part des situations. Pourquoi donc faire peser ce fardeau sur toutes les autres personnes ?</w:t>
      </w:r>
    </w:p>
    <w:p w14:paraId="5199DBCF" w14:textId="77777777" w:rsidR="00677AAF" w:rsidRDefault="00197569">
      <w:r>
        <w:t>Cela impliquerait aussi un coût prohibitif pour le citoyen français. S’il faut faire la queue pendant une heure pour un prélèvement en laboratoire et payer 200 à 300 euros, les citoyens continueront à commander des kits livrés chez eux sur internet pour moins de 50 euros.</w:t>
      </w:r>
    </w:p>
    <w:p w14:paraId="34090C6B" w14:textId="3BF1AB15" w:rsidR="00B004CA" w:rsidRPr="00E61CB4" w:rsidRDefault="00B004CA">
      <w:pPr>
        <w:rPr>
          <w:b/>
          <w:bCs/>
        </w:rPr>
      </w:pPr>
      <w:r w:rsidRPr="00E61CB4">
        <w:rPr>
          <w:b/>
          <w:bCs/>
        </w:rPr>
        <w:t>Idem si vous réservez la possibilité de faire les tests aux pouvoirs publics.</w:t>
      </w:r>
    </w:p>
    <w:p w14:paraId="16926E7E" w14:textId="77777777" w:rsidR="00677AAF" w:rsidRDefault="00197569">
      <w:pPr>
        <w:spacing w:before="60"/>
        <w:ind w:left="360"/>
        <w:rPr>
          <w:b/>
          <w:i/>
        </w:rPr>
      </w:pPr>
      <w:r>
        <w:rPr>
          <w:b/>
          <w:i/>
        </w:rPr>
        <w:t>Un dispositif trop lourd sera contourné.</w:t>
      </w:r>
    </w:p>
    <w:p w14:paraId="7002BD80" w14:textId="77777777" w:rsidR="00B004CA" w:rsidRDefault="00B004CA">
      <w:pPr>
        <w:spacing w:before="60"/>
        <w:ind w:left="360"/>
      </w:pPr>
    </w:p>
    <w:p w14:paraId="0AA58688" w14:textId="77777777" w:rsidR="00677AAF" w:rsidRDefault="00197569">
      <w:r>
        <w:rPr>
          <w:b/>
        </w:rPr>
        <w:t>Prévoir une extraction des données génomiques en France serait très coûteux, voire impossible.</w:t>
      </w:r>
    </w:p>
    <w:p w14:paraId="0B26D013" w14:textId="77777777" w:rsidR="00677AAF" w:rsidRDefault="00197569">
      <w:r>
        <w:t>Les tests ADN ne sont pas des analyses courantes comme les prises de sang. Ils nécessitent un équipement très spécialisé et une expertise que l’on ne trouve que dans un nombre relativement restreint de laboratoires dans le monde.</w:t>
      </w:r>
    </w:p>
    <w:p w14:paraId="6B091302" w14:textId="77777777" w:rsidR="00677AAF" w:rsidRDefault="00197569">
      <w:r>
        <w:t>La moindre machine pour analyser l’ADN coûte environ 1,5 million d’euros.</w:t>
      </w:r>
    </w:p>
    <w:p w14:paraId="562B3713" w14:textId="77777777" w:rsidR="00677AAF" w:rsidRDefault="00197569">
      <w:r>
        <w:rPr>
          <w:b/>
        </w:rPr>
        <w:t>Constituer une base de données franco-française serait totalement inefficace.</w:t>
      </w:r>
    </w:p>
    <w:p w14:paraId="52ECBDC6" w14:textId="77777777" w:rsidR="00677AAF" w:rsidRDefault="00197569">
      <w:r>
        <w:t>Ce qui fait la force et l’efficacité d’une base de données génétiques, c’est son universalisme, son volume et son antériorité. Il ne sera jamais possible de rivaliser avec les bases déjà constituées par des sociétés telles que MyHeritage ou AncestryDNA, compte tenu du retard pris.</w:t>
      </w:r>
    </w:p>
    <w:p w14:paraId="5F394805" w14:textId="77777777" w:rsidR="00677AAF" w:rsidRDefault="00197569">
      <w:r>
        <w:t>En outre, une base purement française ne permettrait pas d’apporter une réponse aux adoptions ou procréations transfrontalières, ni aux accouchements dans le secret en France par des ressortissantes étrangères.</w:t>
      </w:r>
    </w:p>
    <w:p w14:paraId="338CC1A8" w14:textId="77777777" w:rsidR="00677AAF" w:rsidRDefault="00197569">
      <w:r>
        <w:t>Une telle base mettrait des années avant de pouvoir servir concrètement, alors que le besoin de connaissance des origines est actuel.</w:t>
      </w:r>
    </w:p>
    <w:p w14:paraId="1E72B68E" w14:textId="6FA86FAA" w:rsidR="00533336" w:rsidRDefault="00533336">
      <w:r>
        <w:t>Ça serait comme un annuaire qui ne comporterait que 3 numéros…</w:t>
      </w:r>
      <w:r w:rsidR="00BB5415">
        <w:t>ça ressemblerait plus au Bottin Mondain qu'aux pages jaunes.</w:t>
      </w:r>
    </w:p>
    <w:p w14:paraId="39EE1BB4" w14:textId="77777777" w:rsidR="00677AAF" w:rsidRDefault="00197569">
      <w:r>
        <w:t>J’ai consulté de grands acteurs qui commercialisent ces tests : ils m’ont confirmé qu’il serait inenvisageable de permettre aux citoyens français d’uploader leurs données génomiques dans leurs propres bases. Par exemple, MyHeritage a verrouillé l’accès à ses bases de données aux ADN recueillis par d’autres laboratoires.</w:t>
      </w:r>
    </w:p>
    <w:p w14:paraId="7EA9A1C7" w14:textId="77777777" w:rsidR="00677AAF" w:rsidRDefault="00197569">
      <w:r>
        <w:rPr>
          <w:b/>
        </w:rPr>
        <w:t>C’est pourquoi nous formulons aujourd’hui des propositions concrètes.</w:t>
      </w:r>
    </w:p>
    <w:p w14:paraId="4CB043E2" w14:textId="77777777" w:rsidR="00677AAF" w:rsidRDefault="00197569">
      <w:pPr>
        <w:pStyle w:val="Titre2"/>
      </w:pPr>
      <w:r>
        <w:t>VII. Propositions</w:t>
      </w:r>
    </w:p>
    <w:p w14:paraId="212900DB" w14:textId="77777777" w:rsidR="00677AAF" w:rsidRDefault="00197569">
      <w:pPr>
        <w:pStyle w:val="Listepuces"/>
      </w:pPr>
      <w:r>
        <w:t>Dépénaliser et légaliser les tests d’origines ou à visée généalogique.</w:t>
      </w:r>
    </w:p>
    <w:p w14:paraId="7FC1DFAC" w14:textId="77777777" w:rsidR="00BB5415" w:rsidRDefault="00BB5415" w:rsidP="00BB5415">
      <w:pPr>
        <w:pStyle w:val="Listepuces"/>
        <w:numPr>
          <w:ilvl w:val="0"/>
          <w:numId w:val="0"/>
        </w:numPr>
        <w:ind w:left="360"/>
      </w:pPr>
    </w:p>
    <w:p w14:paraId="09CFE9E2" w14:textId="7E4826D8" w:rsidR="00BB5415" w:rsidRDefault="00BB5415" w:rsidP="00BB5415">
      <w:pPr>
        <w:pStyle w:val="Listepuces"/>
        <w:numPr>
          <w:ilvl w:val="0"/>
          <w:numId w:val="0"/>
        </w:numPr>
        <w:ind w:left="360"/>
      </w:pPr>
      <w:r>
        <w:t xml:space="preserve">En </w:t>
      </w:r>
      <w:r w:rsidR="00F368F5">
        <w:t xml:space="preserve"> l'assortissant </w:t>
      </w:r>
      <w:r>
        <w:t xml:space="preserve">de plusieurs </w:t>
      </w:r>
      <w:r w:rsidRPr="00A56923">
        <w:rPr>
          <w:b/>
          <w:bCs/>
        </w:rPr>
        <w:t>garanties</w:t>
      </w:r>
      <w:r>
        <w:t xml:space="preserve"> :</w:t>
      </w:r>
    </w:p>
    <w:p w14:paraId="1768F726" w14:textId="77777777" w:rsidR="00952C5E" w:rsidRDefault="00952C5E" w:rsidP="00BB5415">
      <w:pPr>
        <w:pStyle w:val="Listepuces"/>
        <w:numPr>
          <w:ilvl w:val="0"/>
          <w:numId w:val="0"/>
        </w:numPr>
        <w:ind w:left="360"/>
      </w:pPr>
    </w:p>
    <w:p w14:paraId="2AB0CE4F" w14:textId="77F3EB6B" w:rsidR="00BB5415" w:rsidRDefault="004A6C5A" w:rsidP="00BB5415">
      <w:pPr>
        <w:pStyle w:val="Listepuces"/>
        <w:numPr>
          <w:ilvl w:val="0"/>
          <w:numId w:val="10"/>
        </w:numPr>
      </w:pPr>
      <w:r>
        <w:t xml:space="preserve">Maintenir l'interdiction des tests de prédispositions médicales </w:t>
      </w:r>
      <w:r w:rsidR="00C1656A">
        <w:t>;</w:t>
      </w:r>
    </w:p>
    <w:p w14:paraId="56216976" w14:textId="77777777" w:rsidR="00952C5E" w:rsidRDefault="00952C5E" w:rsidP="00952C5E">
      <w:pPr>
        <w:pStyle w:val="Listepuces"/>
        <w:numPr>
          <w:ilvl w:val="0"/>
          <w:numId w:val="0"/>
        </w:numPr>
        <w:ind w:left="720"/>
      </w:pPr>
    </w:p>
    <w:p w14:paraId="7A2F82C3" w14:textId="6E05758C" w:rsidR="00C1656A" w:rsidRDefault="00C1656A" w:rsidP="00BB5415">
      <w:pPr>
        <w:pStyle w:val="Listepuces"/>
        <w:numPr>
          <w:ilvl w:val="0"/>
          <w:numId w:val="10"/>
        </w:numPr>
      </w:pPr>
      <w:r>
        <w:t xml:space="preserve">Ne légaliser que les tests permettant de connaître ses origines géographiques (et non ethniques) et de retrouver des personnes avec lesquelles on partage de </w:t>
      </w:r>
      <w:r w:rsidR="00DB28F2">
        <w:t>l’ADN</w:t>
      </w:r>
      <w:r w:rsidR="00757151">
        <w:t xml:space="preserve"> </w:t>
      </w:r>
      <w:r w:rsidR="00DB28F2">
        <w:t>;</w:t>
      </w:r>
    </w:p>
    <w:p w14:paraId="236899CD" w14:textId="77777777" w:rsidR="00952C5E" w:rsidRDefault="00952C5E" w:rsidP="00952C5E">
      <w:pPr>
        <w:pStyle w:val="Listepuces"/>
        <w:numPr>
          <w:ilvl w:val="0"/>
          <w:numId w:val="0"/>
        </w:numPr>
      </w:pPr>
    </w:p>
    <w:p w14:paraId="35B80A8B" w14:textId="2883F8E4" w:rsidR="00757151" w:rsidRDefault="00757151" w:rsidP="00BB5415">
      <w:pPr>
        <w:pStyle w:val="Listepuces"/>
        <w:numPr>
          <w:ilvl w:val="0"/>
          <w:numId w:val="10"/>
        </w:numPr>
      </w:pPr>
      <w:r>
        <w:t>N’accorder aucune valeur juridique à ces tests en termes de responsabilité civile, de filiation</w:t>
      </w:r>
      <w:r w:rsidR="002E5328">
        <w:t>, d’héritage ;</w:t>
      </w:r>
    </w:p>
    <w:p w14:paraId="56A94535" w14:textId="77777777" w:rsidR="00952C5E" w:rsidRDefault="00952C5E" w:rsidP="00952C5E">
      <w:pPr>
        <w:pStyle w:val="Listepuces"/>
        <w:numPr>
          <w:ilvl w:val="0"/>
          <w:numId w:val="0"/>
        </w:numPr>
      </w:pPr>
    </w:p>
    <w:p w14:paraId="6ECDFDD3" w14:textId="13E38EEA" w:rsidR="00BB5415" w:rsidRDefault="002E5328" w:rsidP="002E5328">
      <w:pPr>
        <w:pStyle w:val="Listepuces"/>
        <w:numPr>
          <w:ilvl w:val="0"/>
          <w:numId w:val="10"/>
        </w:numPr>
      </w:pPr>
      <w:r>
        <w:t>Interdire de céder les données génomiques à un tiers (employeur, assureur…)</w:t>
      </w:r>
    </w:p>
    <w:p w14:paraId="72C24356" w14:textId="77777777" w:rsidR="00952C5E" w:rsidRDefault="00952C5E" w:rsidP="00952C5E">
      <w:pPr>
        <w:pStyle w:val="Listepuces"/>
        <w:numPr>
          <w:ilvl w:val="0"/>
          <w:numId w:val="0"/>
        </w:numPr>
      </w:pPr>
    </w:p>
    <w:p w14:paraId="2400827A" w14:textId="37FDB5C0" w:rsidR="002E5328" w:rsidRDefault="002E5328" w:rsidP="002E5328">
      <w:pPr>
        <w:pStyle w:val="Listepuces"/>
        <w:numPr>
          <w:ilvl w:val="0"/>
          <w:numId w:val="10"/>
        </w:numPr>
      </w:pPr>
      <w:r>
        <w:t xml:space="preserve">Interdire de les utiliser pour la recherche </w:t>
      </w:r>
      <w:r w:rsidR="00D43D28">
        <w:t>sauf nouveau consentement</w:t>
      </w:r>
    </w:p>
    <w:p w14:paraId="72E1F341" w14:textId="77777777" w:rsidR="00952C5E" w:rsidRDefault="00952C5E" w:rsidP="00952C5E">
      <w:pPr>
        <w:pStyle w:val="Listepuces"/>
        <w:numPr>
          <w:ilvl w:val="0"/>
          <w:numId w:val="0"/>
        </w:numPr>
      </w:pPr>
    </w:p>
    <w:p w14:paraId="0E3271A8" w14:textId="1E68B437" w:rsidR="00677AAF" w:rsidRDefault="00D43D28" w:rsidP="00D43D28">
      <w:pPr>
        <w:pStyle w:val="Listepuces"/>
        <w:numPr>
          <w:ilvl w:val="0"/>
          <w:numId w:val="10"/>
        </w:numPr>
      </w:pPr>
      <w:r>
        <w:t xml:space="preserve">Créer </w:t>
      </w:r>
      <w:r w:rsidR="00197569">
        <w:t xml:space="preserve">un label public, une sorte de « Nutriscore » des tests ADN, pour </w:t>
      </w:r>
      <w:r w:rsidR="00170C84">
        <w:t>permettre aux citoyens de se tourner vers</w:t>
      </w:r>
      <w:r w:rsidR="00197569">
        <w:t xml:space="preserve"> les </w:t>
      </w:r>
      <w:r w:rsidR="00170C84">
        <w:t>entreprises</w:t>
      </w:r>
      <w:r w:rsidR="00197569">
        <w:t xml:space="preserve"> sérieuses et qui présentent des garanties</w:t>
      </w:r>
      <w:r w:rsidR="00170C84">
        <w:t xml:space="preserve"> </w:t>
      </w:r>
      <w:r w:rsidR="009F5C9E">
        <w:t>en termes de qualité et d'ethique.</w:t>
      </w:r>
    </w:p>
    <w:p w14:paraId="0745B36C" w14:textId="1E82600D" w:rsidR="009F5C9E" w:rsidRDefault="009F5C9E" w:rsidP="009F5C9E">
      <w:pPr>
        <w:pStyle w:val="Listepuces"/>
        <w:numPr>
          <w:ilvl w:val="0"/>
          <w:numId w:val="0"/>
        </w:numPr>
        <w:ind w:left="720"/>
      </w:pPr>
      <w:r>
        <w:t xml:space="preserve">Ce label pourrait être délivré aux entreprises </w:t>
      </w:r>
      <w:r w:rsidR="00F667BA">
        <w:t>:</w:t>
      </w:r>
    </w:p>
    <w:p w14:paraId="7219FAC1" w14:textId="57C61C57" w:rsidR="00F667BA" w:rsidRDefault="00F667BA" w:rsidP="00952C5E">
      <w:pPr>
        <w:pStyle w:val="Listepuces"/>
        <w:numPr>
          <w:ilvl w:val="0"/>
          <w:numId w:val="11"/>
        </w:numPr>
      </w:pPr>
      <w:r>
        <w:t>Garantissant un certain niveau de qualité du test ;</w:t>
      </w:r>
    </w:p>
    <w:p w14:paraId="5FA2953A" w14:textId="7F5CD490" w:rsidR="00F667BA" w:rsidRDefault="00F667BA" w:rsidP="00952C5E">
      <w:pPr>
        <w:pStyle w:val="Listepuces"/>
        <w:numPr>
          <w:ilvl w:val="0"/>
          <w:numId w:val="11"/>
        </w:numPr>
      </w:pPr>
      <w:r>
        <w:t>Recueillant un consentement éclairé avec une finalité stricte ;</w:t>
      </w:r>
    </w:p>
    <w:p w14:paraId="4D9322AE" w14:textId="3FA2D903" w:rsidR="00F667BA" w:rsidRDefault="00F667BA" w:rsidP="00952C5E">
      <w:pPr>
        <w:pStyle w:val="Listepuces"/>
        <w:numPr>
          <w:ilvl w:val="0"/>
          <w:numId w:val="11"/>
        </w:numPr>
      </w:pPr>
      <w:r>
        <w:t>Respectant le RGPD ;</w:t>
      </w:r>
    </w:p>
    <w:p w14:paraId="2FE7C8A2" w14:textId="41044AFC" w:rsidR="00677AAF" w:rsidRDefault="00F667BA" w:rsidP="0050706F">
      <w:pPr>
        <w:pStyle w:val="Listepuces"/>
        <w:numPr>
          <w:ilvl w:val="0"/>
          <w:numId w:val="11"/>
        </w:numPr>
      </w:pPr>
      <w:r>
        <w:t xml:space="preserve">S’engageant à ne pas revendre les données à des tiers ou les exploiter à d'autres fins sauf avec un nouveau consentement des intéressés </w:t>
      </w:r>
    </w:p>
    <w:p w14:paraId="6A08BFFF" w14:textId="77777777" w:rsidR="00677AAF" w:rsidRDefault="00197569">
      <w:pPr>
        <w:pStyle w:val="Titre2"/>
      </w:pPr>
      <w:r>
        <w:t>Conclusion</w:t>
      </w:r>
    </w:p>
    <w:p w14:paraId="6CBA8EF9" w14:textId="77777777" w:rsidR="00677AAF" w:rsidRDefault="00197569">
      <w:r>
        <w:rPr>
          <w:b/>
        </w:rPr>
        <w:t xml:space="preserve">En définitive, nous sommes face à une situation paradoxale : </w:t>
      </w:r>
      <w:r>
        <w:t>une pratique interdite, mais largement utilisée, sans encadrement, et donc sans protection.</w:t>
      </w:r>
    </w:p>
    <w:p w14:paraId="7C72179C" w14:textId="44FFB85A" w:rsidR="00677AAF" w:rsidRDefault="00197569" w:rsidP="00386D6E">
      <w:r>
        <w:t xml:space="preserve">La question n’est donc pas de savoir s’il faut ouvrir </w:t>
      </w:r>
      <w:r w:rsidR="00386D6E">
        <w:t>la porte, elle est déjà ouverte .</w:t>
      </w:r>
    </w:p>
    <w:p w14:paraId="4000A745" w14:textId="77777777" w:rsidR="00677AAF" w:rsidRDefault="00197569">
      <w:r>
        <w:t>La seule question est la suivante : souhaite-t-on l’encadrer par le droit, ou continuer à l’ignorer ?</w:t>
      </w:r>
    </w:p>
    <w:p w14:paraId="741DD59C" w14:textId="77777777" w:rsidR="00677AAF" w:rsidRDefault="00197569">
      <w:r>
        <w:rPr>
          <w:b/>
        </w:rPr>
        <w:t>Légaliser, c’est protéger. Légaliser, c’est accompagner. Légaliser, c’est rendre effectif un droit fondamental.</w:t>
      </w:r>
    </w:p>
    <w:p w14:paraId="3798AFD1" w14:textId="77777777" w:rsidR="00677AAF" w:rsidRDefault="00197569">
      <w:r>
        <w:t>Je vous remercie.</w:t>
      </w:r>
    </w:p>
    <w:p w14:paraId="779DBF36" w14:textId="77777777" w:rsidR="00677AAF" w:rsidRDefault="00197569">
      <w:pPr>
        <w:pStyle w:val="Titre2"/>
      </w:pPr>
      <w:r>
        <w:t>Sources et références utiles</w:t>
      </w:r>
    </w:p>
    <w:p w14:paraId="79BD7619" w14:textId="77777777" w:rsidR="00677AAF" w:rsidRDefault="00197569">
      <w:r>
        <w:t>1. Jurisprudence CEDH : Gaskin c. Royaume-Uni, 7 juillet 1989 ; Mikulic c. Croatie, 7 février 2002 ; Odièvre c. France, 13 février 2003 ; Jäggi c. Suisse, 13 juillet 2006 ; Ebru et Tayfun Engin Colak c. Turquie, 30 août 2006 ; Krušković c. Croatie, 21 juin 2011 ; Pascaud c. France, 16 juin 2011 ; Çapın c. Turquie, 15 octobre 2019 ; Boljević c. Serbie, 16 juin 2020 ; Gauvin-Fournis et Silliau c. France, 7 septembre 2023.</w:t>
      </w:r>
    </w:p>
    <w:p w14:paraId="7468841B" w14:textId="5031D730" w:rsidR="00677AAF" w:rsidRDefault="00197569">
      <w:r>
        <w:t>2. CNAOP : rapport d’activité 2024, notamment pages 29 et 32 : depuis 2002, 42 % des dossiers clos l’ont été pour absence de renseignements permettant l’identification et/ou la localisation de l’un au moins des parents de naissance ; seuls 11 % des dossiers clos depuis 2002 ont abouti à une levée du secret de l’identité du ou des parents de naissance</w:t>
      </w:r>
      <w:r w:rsidR="00AA681F">
        <w:t xml:space="preserve"> (+ 12 % de communication de l’identité suite au décès et 12% dans lesquelles aucune demande de secret n'a été constatee après ouverture du dossier).</w:t>
      </w:r>
    </w:p>
    <w:p w14:paraId="68A0F6B8" w14:textId="77777777" w:rsidR="00677AAF" w:rsidRDefault="00197569">
      <w:r>
        <w:t>3. CAPADD : rapport d’activité 2024-2025, page 15 : sur 807 demandes recevables depuis septembre 2022, la commission n’a réussi à identifier et localiser le donneur que dans 341 dossiers ; seuls 11,15 % des demandes ont abouti à une transmission de données identifiantes et/ou non identifiantes.</w:t>
      </w:r>
    </w:p>
    <w:p w14:paraId="724AAE56" w14:textId="77777777" w:rsidR="00AA681F" w:rsidRDefault="00197569" w:rsidP="00AA681F">
      <w:r>
        <w:t xml:space="preserve">4. Exemples étrangers : </w:t>
      </w:r>
    </w:p>
    <w:tbl>
      <w:tblPr>
        <w:tblW w:w="9355"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555"/>
      </w:tblGrid>
      <w:tr w:rsidR="00AA681F" w14:paraId="52E28A48" w14:textId="77777777" w:rsidTr="007E4DBC">
        <w:tc>
          <w:tcPr>
            <w:tcW w:w="18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20" w:type="dxa"/>
              <w:bottom w:w="80" w:type="dxa"/>
              <w:right w:w="120" w:type="dxa"/>
            </w:tcMar>
          </w:tcPr>
          <w:p w14:paraId="360F1600" w14:textId="77777777" w:rsidR="00AA681F" w:rsidRDefault="00AA681F" w:rsidP="007E4DBC">
            <w:pPr>
              <w:rPr>
                <w:lang w:bidi="he-IL"/>
              </w:rPr>
            </w:pPr>
            <w:r>
              <w:rPr>
                <w:b/>
                <w:bCs/>
                <w:sz w:val="20"/>
                <w:szCs w:val="20"/>
                <w:lang w:bidi="he-IL"/>
              </w:rPr>
              <w:t>Belgique (Flandre)</w:t>
            </w:r>
          </w:p>
        </w:tc>
        <w:tc>
          <w:tcPr>
            <w:tcW w:w="7555" w:type="dxa"/>
            <w:tcBorders>
              <w:top w:val="single" w:sz="4" w:space="0" w:color="CCCCCC"/>
              <w:bottom w:val="single" w:sz="4" w:space="0" w:color="CCCCCC"/>
              <w:right w:val="single" w:sz="4" w:space="0" w:color="CCCCCC"/>
            </w:tcBorders>
            <w:shd w:val="clear" w:color="auto" w:fill="F5F5F5"/>
            <w:tcMar>
              <w:top w:w="80" w:type="dxa"/>
              <w:left w:w="120" w:type="dxa"/>
              <w:bottom w:w="80" w:type="dxa"/>
              <w:right w:w="120" w:type="dxa"/>
            </w:tcMar>
          </w:tcPr>
          <w:p w14:paraId="7BCBC21B" w14:textId="77777777" w:rsidR="00AA681F" w:rsidRDefault="00AA681F" w:rsidP="007E4DBC">
            <w:pPr>
              <w:jc w:val="both"/>
              <w:rPr>
                <w:lang w:bidi="he-IL"/>
              </w:rPr>
            </w:pPr>
            <w:r>
              <w:rPr>
                <w:sz w:val="20"/>
                <w:szCs w:val="20"/>
                <w:lang w:bidi="he-IL"/>
              </w:rPr>
              <w:t>Afstammingscentrum : centre cofinancé par l’État (200 000 €/an), créé par décret du 26 avril 2019. Missions : information, accompagnement psychosocial, développement de l’expertise sur les questions de filiation.</w:t>
            </w:r>
          </w:p>
        </w:tc>
      </w:tr>
      <w:tr w:rsidR="00AA681F" w14:paraId="41C30D37" w14:textId="77777777" w:rsidTr="007E4DBC">
        <w:tc>
          <w:tcPr>
            <w:tcW w:w="1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7DFCB64" w14:textId="77777777" w:rsidR="00AA681F" w:rsidRDefault="00AA681F" w:rsidP="007E4DBC">
            <w:pPr>
              <w:rPr>
                <w:lang w:bidi="he-IL"/>
              </w:rPr>
            </w:pPr>
            <w:r>
              <w:rPr>
                <w:b/>
                <w:bCs/>
                <w:sz w:val="20"/>
                <w:szCs w:val="20"/>
                <w:lang w:bidi="he-IL"/>
              </w:rPr>
              <w:t>Pays-Bas</w:t>
            </w:r>
          </w:p>
        </w:tc>
        <w:tc>
          <w:tcPr>
            <w:tcW w:w="7555" w:type="dxa"/>
            <w:tcBorders>
              <w:top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3F8A8FFF" w14:textId="77777777" w:rsidR="00AA681F" w:rsidRDefault="00AA681F" w:rsidP="007E4DBC">
            <w:pPr>
              <w:jc w:val="both"/>
              <w:rPr>
                <w:lang w:bidi="he-IL"/>
              </w:rPr>
            </w:pPr>
            <w:r>
              <w:rPr>
                <w:sz w:val="20"/>
                <w:szCs w:val="20"/>
                <w:lang w:bidi="he-IL"/>
              </w:rPr>
              <w:t>INEA (Identiteit, Nazorg, Erkenning en Adoptievraagstukken), opérationnel depuis mars 2023. Centre national indépendant, 15 agents, financement public de 36 millions d’euros sur dix ans. Missions : accès aux dossiers, recherche des parents biologiques, accompagnement psychosocial et juridique.</w:t>
            </w:r>
          </w:p>
        </w:tc>
      </w:tr>
      <w:tr w:rsidR="00AA681F" w14:paraId="3C02576B" w14:textId="77777777" w:rsidTr="007E4DBC">
        <w:tc>
          <w:tcPr>
            <w:tcW w:w="18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20" w:type="dxa"/>
              <w:bottom w:w="80" w:type="dxa"/>
              <w:right w:w="120" w:type="dxa"/>
            </w:tcMar>
          </w:tcPr>
          <w:p w14:paraId="72DEE02D" w14:textId="77777777" w:rsidR="00AA681F" w:rsidRDefault="00AA681F" w:rsidP="007E4DBC">
            <w:pPr>
              <w:rPr>
                <w:lang w:bidi="he-IL"/>
              </w:rPr>
            </w:pPr>
            <w:r>
              <w:rPr>
                <w:b/>
                <w:bCs/>
                <w:sz w:val="20"/>
                <w:szCs w:val="20"/>
                <w:lang w:bidi="he-IL"/>
              </w:rPr>
              <w:t>Royaume-Uni</w:t>
            </w:r>
          </w:p>
        </w:tc>
        <w:tc>
          <w:tcPr>
            <w:tcW w:w="7555" w:type="dxa"/>
            <w:tcBorders>
              <w:top w:val="single" w:sz="4" w:space="0" w:color="CCCCCC"/>
              <w:bottom w:val="single" w:sz="4" w:space="0" w:color="CCCCCC"/>
              <w:right w:val="single" w:sz="4" w:space="0" w:color="CCCCCC"/>
            </w:tcBorders>
            <w:shd w:val="clear" w:color="auto" w:fill="F5F5F5"/>
            <w:tcMar>
              <w:top w:w="80" w:type="dxa"/>
              <w:left w:w="120" w:type="dxa"/>
              <w:bottom w:w="80" w:type="dxa"/>
              <w:right w:w="120" w:type="dxa"/>
            </w:tcMar>
          </w:tcPr>
          <w:p w14:paraId="6B4B1F72" w14:textId="77777777" w:rsidR="00AA681F" w:rsidRDefault="00AA681F" w:rsidP="007E4DBC">
            <w:pPr>
              <w:jc w:val="both"/>
              <w:rPr>
                <w:lang w:bidi="he-IL"/>
              </w:rPr>
            </w:pPr>
            <w:r>
              <w:rPr>
                <w:sz w:val="20"/>
                <w:szCs w:val="20"/>
                <w:lang w:bidi="he-IL"/>
              </w:rPr>
              <w:t>La HFEA propose, via une structure partenaire, des tests ADN au profit des personnes conçues par don avant le 1</w:t>
            </w:r>
            <w:r w:rsidRPr="00FB4B56">
              <w:rPr>
                <w:sz w:val="20"/>
                <w:szCs w:val="20"/>
                <w:vertAlign w:val="superscript"/>
                <w:lang w:bidi="he-IL"/>
              </w:rPr>
              <w:t>er</w:t>
            </w:r>
            <w:r>
              <w:rPr>
                <w:sz w:val="20"/>
                <w:szCs w:val="20"/>
                <w:lang w:bidi="he-IL"/>
              </w:rPr>
              <w:t xml:space="preserve"> août 1991, période antérieure à tout encadrement.</w:t>
            </w:r>
          </w:p>
        </w:tc>
      </w:tr>
    </w:tbl>
    <w:p w14:paraId="0225D4E1" w14:textId="4A712950" w:rsidR="00677AAF" w:rsidRDefault="00677AAF" w:rsidP="00AA681F"/>
    <w:sectPr w:rsidR="00677AAF"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abstractNum w:abstractNumId="9" w15:restartNumberingAfterBreak="0">
    <w:nsid w:val="3BBA01D5"/>
    <w:multiLevelType w:val="hybridMultilevel"/>
    <w:tmpl w:val="4D485BE4"/>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0126219"/>
    <w:multiLevelType w:val="hybridMultilevel"/>
    <w:tmpl w:val="BB5654D6"/>
    <w:lvl w:ilvl="0" w:tplc="EC8AEFBC">
      <w:start w:val="60"/>
      <w:numFmt w:val="bullet"/>
      <w:lvlText w:val="-"/>
      <w:lvlJc w:val="left"/>
      <w:pPr>
        <w:ind w:left="720" w:hanging="360"/>
      </w:pPr>
      <w:rPr>
        <w:rFonts w:ascii="Calibri" w:eastAsia="Aptos"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F78121F"/>
    <w:multiLevelType w:val="hybridMultilevel"/>
    <w:tmpl w:val="0208518C"/>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95894086">
    <w:abstractNumId w:val="8"/>
  </w:num>
  <w:num w:numId="2" w16cid:durableId="1090158377">
    <w:abstractNumId w:val="6"/>
  </w:num>
  <w:num w:numId="3" w16cid:durableId="1065954073">
    <w:abstractNumId w:val="5"/>
  </w:num>
  <w:num w:numId="4" w16cid:durableId="1208420647">
    <w:abstractNumId w:val="4"/>
  </w:num>
  <w:num w:numId="5" w16cid:durableId="221062444">
    <w:abstractNumId w:val="7"/>
  </w:num>
  <w:num w:numId="6" w16cid:durableId="1856381283">
    <w:abstractNumId w:val="3"/>
  </w:num>
  <w:num w:numId="7" w16cid:durableId="1770933336">
    <w:abstractNumId w:val="2"/>
  </w:num>
  <w:num w:numId="8" w16cid:durableId="1574197400">
    <w:abstractNumId w:val="1"/>
  </w:num>
  <w:num w:numId="9" w16cid:durableId="60032282">
    <w:abstractNumId w:val="0"/>
  </w:num>
  <w:num w:numId="10" w16cid:durableId="1954553223">
    <w:abstractNumId w:val="9"/>
  </w:num>
  <w:num w:numId="11" w16cid:durableId="1915428658">
    <w:abstractNumId w:val="11"/>
  </w:num>
  <w:num w:numId="12" w16cid:durableId="179648168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2DCC"/>
    <w:rsid w:val="00034616"/>
    <w:rsid w:val="0006063C"/>
    <w:rsid w:val="00070C48"/>
    <w:rsid w:val="00131B4C"/>
    <w:rsid w:val="0015074B"/>
    <w:rsid w:val="00170C84"/>
    <w:rsid w:val="001737E7"/>
    <w:rsid w:val="001808EC"/>
    <w:rsid w:val="00197569"/>
    <w:rsid w:val="00215AEA"/>
    <w:rsid w:val="0026551D"/>
    <w:rsid w:val="0029639D"/>
    <w:rsid w:val="002E2BF2"/>
    <w:rsid w:val="002E5328"/>
    <w:rsid w:val="00326F90"/>
    <w:rsid w:val="00386D6E"/>
    <w:rsid w:val="003D75E4"/>
    <w:rsid w:val="004244F7"/>
    <w:rsid w:val="00445542"/>
    <w:rsid w:val="00460F16"/>
    <w:rsid w:val="00481A9B"/>
    <w:rsid w:val="00486EE4"/>
    <w:rsid w:val="004A6C5A"/>
    <w:rsid w:val="004E04E4"/>
    <w:rsid w:val="0050706F"/>
    <w:rsid w:val="00533336"/>
    <w:rsid w:val="005A00AB"/>
    <w:rsid w:val="006606F7"/>
    <w:rsid w:val="006703DE"/>
    <w:rsid w:val="00677AAF"/>
    <w:rsid w:val="006D1278"/>
    <w:rsid w:val="00712DE9"/>
    <w:rsid w:val="00722D96"/>
    <w:rsid w:val="00757151"/>
    <w:rsid w:val="00815120"/>
    <w:rsid w:val="00826411"/>
    <w:rsid w:val="0095114C"/>
    <w:rsid w:val="00952C5E"/>
    <w:rsid w:val="009901BB"/>
    <w:rsid w:val="009C2FE2"/>
    <w:rsid w:val="009F5C9E"/>
    <w:rsid w:val="00A56923"/>
    <w:rsid w:val="00AA1D8D"/>
    <w:rsid w:val="00AA681F"/>
    <w:rsid w:val="00AC6180"/>
    <w:rsid w:val="00B004CA"/>
    <w:rsid w:val="00B0711E"/>
    <w:rsid w:val="00B47730"/>
    <w:rsid w:val="00BB4719"/>
    <w:rsid w:val="00BB5415"/>
    <w:rsid w:val="00BD63F0"/>
    <w:rsid w:val="00C1656A"/>
    <w:rsid w:val="00C22900"/>
    <w:rsid w:val="00C773A0"/>
    <w:rsid w:val="00CB0664"/>
    <w:rsid w:val="00CF5503"/>
    <w:rsid w:val="00D43D28"/>
    <w:rsid w:val="00DB28F2"/>
    <w:rsid w:val="00DF1D5E"/>
    <w:rsid w:val="00E61CB4"/>
    <w:rsid w:val="00EA6D18"/>
    <w:rsid w:val="00F368F5"/>
    <w:rsid w:val="00F667BA"/>
    <w:rsid w:val="00FC03F3"/>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FFDC6D"/>
  <w14:defaultImageDpi w14:val="300"/>
  <w15:docId w15:val="{686FFF5E-C893-574A-BB0A-4EC1DF763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100" w:line="259" w:lineRule="auto"/>
    </w:pPr>
    <w:rPr>
      <w:rFonts w:ascii="Arial" w:hAnsi="Arial"/>
      <w:sz w:val="21"/>
    </w:rPr>
  </w:style>
  <w:style w:type="paragraph" w:styleId="Titre1">
    <w:name w:val="heading 1"/>
    <w:basedOn w:val="Normal"/>
    <w:next w:val="Normal"/>
    <w:link w:val="Titre1Car"/>
    <w:uiPriority w:val="9"/>
    <w:qFormat/>
    <w:rsid w:val="00FC693F"/>
    <w:pPr>
      <w:keepNext/>
      <w:keepLines/>
      <w:spacing w:before="160" w:after="80"/>
      <w:outlineLvl w:val="0"/>
    </w:pPr>
    <w:rPr>
      <w:rFonts w:asciiTheme="majorHAnsi" w:eastAsiaTheme="majorEastAsia" w:hAnsiTheme="majorHAnsi" w:cstheme="majorBidi"/>
      <w:b/>
      <w:bCs/>
      <w:color w:val="365F91" w:themeColor="accent1" w:themeShade="BF"/>
      <w:sz w:val="30"/>
      <w:szCs w:val="28"/>
    </w:rPr>
  </w:style>
  <w:style w:type="paragraph" w:styleId="Titre2">
    <w:name w:val="heading 2"/>
    <w:basedOn w:val="Normal"/>
    <w:next w:val="Normal"/>
    <w:link w:val="Titre2Car"/>
    <w:uiPriority w:val="9"/>
    <w:unhideWhenUsed/>
    <w:qFormat/>
    <w:rsid w:val="00FC693F"/>
    <w:pPr>
      <w:keepNext/>
      <w:keepLines/>
      <w:spacing w:before="160" w:after="80"/>
      <w:outlineLvl w:val="1"/>
    </w:pPr>
    <w:rPr>
      <w:rFonts w:asciiTheme="majorHAnsi" w:eastAsiaTheme="majorEastAsia" w:hAnsiTheme="majorHAnsi" w:cstheme="majorBidi"/>
      <w:b/>
      <w:bCs/>
      <w:color w:val="4F81BD" w:themeColor="accent1"/>
      <w:sz w:val="24"/>
      <w:szCs w:val="26"/>
    </w:rPr>
  </w:style>
  <w:style w:type="paragraph" w:styleId="Titre3">
    <w:name w:val="heading 3"/>
    <w:basedOn w:val="Normal"/>
    <w:next w:val="Normal"/>
    <w:link w:val="Titre3Car"/>
    <w:uiPriority w:val="9"/>
    <w:unhideWhenUsed/>
    <w:qFormat/>
    <w:rsid w:val="00FC693F"/>
    <w:pPr>
      <w:keepNext/>
      <w:keepLines/>
      <w:spacing w:before="160" w:after="80"/>
      <w:outlineLvl w:val="2"/>
    </w:pPr>
    <w:rPr>
      <w:rFonts w:asciiTheme="majorHAnsi" w:eastAsiaTheme="majorEastAsia" w:hAnsiTheme="majorHAnsi" w:cstheme="majorBidi"/>
      <w:b/>
      <w:bCs/>
      <w:color w:val="4F81BD" w:themeColor="accent1"/>
      <w:sz w:val="22"/>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Pause">
    <w:name w:val="Pause"/>
    <w:pPr>
      <w:spacing w:before="40" w:after="40"/>
    </w:pPr>
    <w:rPr>
      <w:rFonts w:ascii="Arial" w:hAnsi="Arial"/>
      <w:b/>
      <w:i/>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 /><Relationship Id="rId7"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ntTable" Target="fontTable.xm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2232</Words>
  <Characters>12276</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14480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Arthur Fournis</cp:lastModifiedBy>
  <cp:revision>2</cp:revision>
  <dcterms:created xsi:type="dcterms:W3CDTF">2026-06-01T07:52:00Z</dcterms:created>
  <dcterms:modified xsi:type="dcterms:W3CDTF">2026-06-01T07:52:00Z</dcterms:modified>
  <cp:category/>
</cp:coreProperties>
</file>