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5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55"/>
      </w:tblGrid>
      <w:tr w:rsidR="00AB3867" w14:paraId="1C631E37" w14:textId="77777777" w:rsidTr="001D5BE6">
        <w:tc>
          <w:tcPr>
            <w:tcW w:w="9355" w:type="dxa"/>
            <w:shd w:val="clear" w:color="auto" w:fill="1F4E79"/>
            <w:tcMar>
              <w:top w:w="200" w:type="dxa"/>
              <w:left w:w="280" w:type="dxa"/>
              <w:bottom w:w="200" w:type="dxa"/>
              <w:right w:w="280" w:type="dxa"/>
            </w:tcMar>
          </w:tcPr>
          <w:p w14:paraId="45DB565F" w14:textId="77777777" w:rsidR="00807F68" w:rsidRDefault="001D5BE6" w:rsidP="005770B9">
            <w:pPr>
              <w:pStyle w:val="Titre"/>
              <w:jc w:val="center"/>
              <w:rPr>
                <w:rFonts w:asciiTheme="minorHAnsi" w:hAnsiTheme="minorHAnsi" w:cstheme="minorHAnsi"/>
                <w:b/>
                <w:bCs/>
                <w:color w:val="FFFFFF" w:themeColor="background1"/>
                <w:sz w:val="24"/>
                <w:szCs w:val="24"/>
                <w:lang w:bidi="ar-SA"/>
              </w:rPr>
            </w:pPr>
            <w:r w:rsidRPr="001D5BE6">
              <w:rPr>
                <w:rFonts w:asciiTheme="minorHAnsi" w:hAnsiTheme="minorHAnsi" w:cstheme="minorHAnsi"/>
                <w:b/>
                <w:bCs/>
                <w:color w:val="FFFFFF" w:themeColor="background1"/>
                <w:sz w:val="24"/>
                <w:szCs w:val="24"/>
                <w:lang w:bidi="ar-SA"/>
              </w:rPr>
              <w:t xml:space="preserve">Tests ADN d’origines : protéger les données, éclairer les citoyens, </w:t>
            </w:r>
          </w:p>
          <w:p w14:paraId="3E9A2B52" w14:textId="16012B00" w:rsidR="001D5BE6" w:rsidRPr="001D5BE6" w:rsidRDefault="001D5BE6" w:rsidP="005770B9">
            <w:pPr>
              <w:pStyle w:val="Titre"/>
              <w:jc w:val="center"/>
              <w:rPr>
                <w:rFonts w:asciiTheme="minorHAnsi" w:hAnsiTheme="minorHAnsi" w:cstheme="minorHAnsi"/>
                <w:b/>
                <w:bCs/>
                <w:color w:val="FFFFFF" w:themeColor="background1"/>
                <w:sz w:val="24"/>
                <w:szCs w:val="24"/>
                <w:lang w:bidi="ar-SA"/>
              </w:rPr>
            </w:pPr>
            <w:r w:rsidRPr="001D5BE6">
              <w:rPr>
                <w:rFonts w:asciiTheme="minorHAnsi" w:hAnsiTheme="minorHAnsi" w:cstheme="minorHAnsi"/>
                <w:b/>
                <w:bCs/>
                <w:color w:val="FFFFFF" w:themeColor="background1"/>
                <w:sz w:val="24"/>
                <w:szCs w:val="24"/>
                <w:lang w:bidi="ar-SA"/>
              </w:rPr>
              <w:t xml:space="preserve"> en encadrant une pratique déjà massive</w:t>
            </w:r>
          </w:p>
          <w:p w14:paraId="3B7CC6E6" w14:textId="77777777" w:rsidR="001D5BE6" w:rsidRPr="001D5BE6" w:rsidRDefault="001D5BE6" w:rsidP="008A001E">
            <w:pPr>
              <w:rPr>
                <w:rFonts w:asciiTheme="minorHAnsi" w:hAnsiTheme="minorHAnsi" w:cstheme="minorHAnsi"/>
                <w:color w:val="FFFFFF" w:themeColor="background1"/>
                <w:lang w:bidi="ar-SA"/>
              </w:rPr>
            </w:pPr>
          </w:p>
          <w:p w14:paraId="1F4B0748" w14:textId="77777777" w:rsidR="00AB3867" w:rsidRDefault="00E71070" w:rsidP="005770B9">
            <w:pPr>
              <w:jc w:val="center"/>
            </w:pPr>
            <w:r>
              <w:rPr>
                <w:i/>
                <w:iCs/>
                <w:color w:val="C8DDF0"/>
                <w:sz w:val="21"/>
                <w:szCs w:val="21"/>
              </w:rPr>
              <w:t>Proposition de loi n° 2312 – Droit d’accès aux origines personnelles</w:t>
            </w:r>
          </w:p>
        </w:tc>
      </w:tr>
    </w:tbl>
    <w:p w14:paraId="218ADB48" w14:textId="77777777" w:rsidR="00AB3867" w:rsidRDefault="00AB3867">
      <w:pPr>
        <w:spacing w:after="80"/>
      </w:pPr>
    </w:p>
    <w:tbl>
      <w:tblPr>
        <w:tblW w:w="935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55"/>
      </w:tblGrid>
      <w:tr w:rsidR="00AB3867" w14:paraId="725C6A8C" w14:textId="77777777" w:rsidTr="00D1047F">
        <w:tc>
          <w:tcPr>
            <w:tcW w:w="1800" w:type="dxa"/>
            <w:tcBorders>
              <w:top w:val="non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52893009" w14:textId="77777777" w:rsidR="00AB3867" w:rsidRDefault="00E71070">
            <w:r>
              <w:rPr>
                <w:b/>
                <w:bCs/>
                <w:color w:val="444444"/>
                <w:sz w:val="20"/>
                <w:szCs w:val="20"/>
              </w:rPr>
              <w:t>Objet</w:t>
            </w:r>
          </w:p>
        </w:tc>
        <w:tc>
          <w:tcPr>
            <w:tcW w:w="7555" w:type="dxa"/>
            <w:tcBorders>
              <w:top w:val="none" w:sz="4" w:space="0" w:color="CCCCCC"/>
              <w:bottom w:val="single" w:sz="4" w:space="0" w:color="CCCCCC"/>
              <w:right w:val="single" w:sz="4" w:space="0" w:color="CCCCCC"/>
            </w:tcBorders>
            <w:tcMar>
              <w:top w:w="80" w:type="dxa"/>
              <w:left w:w="120" w:type="dxa"/>
              <w:bottom w:w="80" w:type="dxa"/>
              <w:right w:w="120" w:type="dxa"/>
            </w:tcMar>
          </w:tcPr>
          <w:p w14:paraId="7404AC8C" w14:textId="77777777" w:rsidR="00AB3867" w:rsidRDefault="00E71070">
            <w:r>
              <w:rPr>
                <w:color w:val="222222"/>
                <w:sz w:val="20"/>
                <w:szCs w:val="20"/>
              </w:rPr>
              <w:t>Analyse et propositions relatives à la PPL n° 2312 visant à garantir le droit d’accès aux origines personnelles</w:t>
            </w:r>
          </w:p>
        </w:tc>
      </w:tr>
      <w:tr w:rsidR="00AB3867" w14:paraId="0A6A9CED" w14:textId="77777777" w:rsidTr="00D1047F">
        <w:tc>
          <w:tcPr>
            <w:tcW w:w="1800" w:type="dxa"/>
            <w:tcBorders>
              <w:top w:val="non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5E706815" w14:textId="77777777" w:rsidR="00AB3867" w:rsidRDefault="00E71070">
            <w:r>
              <w:rPr>
                <w:b/>
                <w:bCs/>
                <w:color w:val="444444"/>
                <w:sz w:val="20"/>
                <w:szCs w:val="20"/>
              </w:rPr>
              <w:t>Référence</w:t>
            </w:r>
          </w:p>
        </w:tc>
        <w:tc>
          <w:tcPr>
            <w:tcW w:w="7555" w:type="dxa"/>
            <w:tcBorders>
              <w:top w:val="none" w:sz="4" w:space="0" w:color="CCCCCC"/>
              <w:bottom w:val="single" w:sz="4" w:space="0" w:color="CCCCCC"/>
              <w:right w:val="single" w:sz="4" w:space="0" w:color="CCCCCC"/>
            </w:tcBorders>
            <w:tcMar>
              <w:top w:w="80" w:type="dxa"/>
              <w:left w:w="120" w:type="dxa"/>
              <w:bottom w:w="80" w:type="dxa"/>
              <w:right w:w="120" w:type="dxa"/>
            </w:tcMar>
          </w:tcPr>
          <w:p w14:paraId="1955C4C6" w14:textId="77777777" w:rsidR="00AB3867" w:rsidRDefault="00E71070">
            <w:r>
              <w:rPr>
                <w:color w:val="222222"/>
                <w:sz w:val="20"/>
                <w:szCs w:val="20"/>
              </w:rPr>
              <w:t>PPL n° 2312, déposée le 23 décembre 2025</w:t>
            </w:r>
          </w:p>
        </w:tc>
      </w:tr>
      <w:tr w:rsidR="00AB3867" w14:paraId="4EFF2662" w14:textId="77777777" w:rsidTr="00D1047F">
        <w:tc>
          <w:tcPr>
            <w:tcW w:w="1800" w:type="dxa"/>
            <w:tcBorders>
              <w:top w:val="non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3712DE08" w14:textId="77777777" w:rsidR="00AB3867" w:rsidRDefault="00E71070">
            <w:r>
              <w:rPr>
                <w:b/>
                <w:bCs/>
                <w:color w:val="444444"/>
                <w:sz w:val="20"/>
                <w:szCs w:val="20"/>
              </w:rPr>
              <w:t>Date</w:t>
            </w:r>
          </w:p>
        </w:tc>
        <w:tc>
          <w:tcPr>
            <w:tcW w:w="7555" w:type="dxa"/>
            <w:tcBorders>
              <w:top w:val="none" w:sz="4" w:space="0" w:color="CCCCCC"/>
              <w:bottom w:val="single" w:sz="4" w:space="0" w:color="CCCCCC"/>
              <w:right w:val="single" w:sz="4" w:space="0" w:color="CCCCCC"/>
            </w:tcBorders>
            <w:tcMar>
              <w:top w:w="80" w:type="dxa"/>
              <w:left w:w="120" w:type="dxa"/>
              <w:bottom w:w="80" w:type="dxa"/>
              <w:right w:w="120" w:type="dxa"/>
            </w:tcMar>
          </w:tcPr>
          <w:p w14:paraId="69DC99A4" w14:textId="7E7DEA27" w:rsidR="00AB3867" w:rsidRDefault="00E71070">
            <w:r>
              <w:rPr>
                <w:color w:val="222222"/>
                <w:sz w:val="20"/>
                <w:szCs w:val="20"/>
              </w:rPr>
              <w:t>1</w:t>
            </w:r>
            <w:r w:rsidRPr="0061325B">
              <w:rPr>
                <w:color w:val="222222"/>
                <w:sz w:val="20"/>
                <w:szCs w:val="20"/>
                <w:vertAlign w:val="superscript"/>
              </w:rPr>
              <w:t>er</w:t>
            </w:r>
            <w:r w:rsidR="0061325B">
              <w:rPr>
                <w:color w:val="222222"/>
                <w:sz w:val="20"/>
                <w:szCs w:val="20"/>
              </w:rPr>
              <w:t xml:space="preserve"> </w:t>
            </w:r>
            <w:r>
              <w:rPr>
                <w:color w:val="222222"/>
                <w:sz w:val="20"/>
                <w:szCs w:val="20"/>
              </w:rPr>
              <w:t>mai 2026</w:t>
            </w:r>
          </w:p>
        </w:tc>
      </w:tr>
    </w:tbl>
    <w:p w14:paraId="30F2262C" w14:textId="77777777" w:rsidR="00AB3867" w:rsidRDefault="00AB3867">
      <w:pPr>
        <w:spacing w:after="200"/>
      </w:pPr>
    </w:p>
    <w:p w14:paraId="54AF3927" w14:textId="77777777" w:rsidR="00AB3867" w:rsidRDefault="00AB3867">
      <w:pPr>
        <w:pBdr>
          <w:bottom w:val="single" w:sz="8" w:space="1" w:color="1F4E79"/>
        </w:pBdr>
      </w:pPr>
    </w:p>
    <w:p w14:paraId="61307ED5" w14:textId="77777777" w:rsidR="00AB3867" w:rsidRDefault="00AB3867">
      <w:pPr>
        <w:spacing w:after="80"/>
      </w:pPr>
    </w:p>
    <w:p w14:paraId="1C7EA046" w14:textId="77777777" w:rsidR="00AB3867" w:rsidRDefault="00E71070">
      <w:pPr>
        <w:spacing w:before="100" w:after="80"/>
      </w:pPr>
      <w:r>
        <w:rPr>
          <w:b/>
          <w:bCs/>
          <w:caps/>
          <w:color w:val="1F4E79"/>
          <w:sz w:val="20"/>
          <w:szCs w:val="20"/>
        </w:rPr>
        <w:t>RÉSUMÉ EXÉCUTIF</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240A6F1F" w14:textId="77777777">
        <w:tc>
          <w:tcPr>
            <w:tcW w:w="9026" w:type="dxa"/>
            <w:tcBorders>
              <w:top w:val="single" w:sz="8" w:space="0" w:color="2E75B6"/>
              <w:left w:val="single" w:sz="24" w:space="0" w:color="2E75B6"/>
              <w:bottom w:val="single" w:sz="8" w:space="0" w:color="2E75B6"/>
            </w:tcBorders>
            <w:shd w:val="clear" w:color="auto" w:fill="D6E4F0"/>
            <w:tcMar>
              <w:top w:w="140" w:type="dxa"/>
              <w:left w:w="240" w:type="dxa"/>
              <w:bottom w:w="140" w:type="dxa"/>
              <w:right w:w="240" w:type="dxa"/>
            </w:tcMar>
          </w:tcPr>
          <w:p w14:paraId="40D770AD" w14:textId="7FDD14A2" w:rsidR="00AB3867" w:rsidRDefault="00E71070">
            <w:pPr>
              <w:spacing w:after="80"/>
              <w:jc w:val="both"/>
            </w:pPr>
            <w:r w:rsidRPr="00EC6712">
              <w:rPr>
                <w:b/>
                <w:bCs/>
              </w:rPr>
              <w:t>Deux millions</w:t>
            </w:r>
            <w:r>
              <w:t xml:space="preserve"> de Français ont déjà eu recours à des tests ADN d’origines auprès d’opérateurs étrangers, en dehors de tout cadre légal français.</w:t>
            </w:r>
            <w:r w:rsidR="005F0EB1">
              <w:t xml:space="preserve"> Depuis leur création, </w:t>
            </w:r>
            <w:r w:rsidR="00A17419">
              <w:t>le</w:t>
            </w:r>
            <w:r>
              <w:t xml:space="preserve">s dispositifs publics d’accès aux origines (CNAOP, CAPADD) </w:t>
            </w:r>
            <w:r w:rsidR="00A17419">
              <w:t xml:space="preserve">n’ont été saisis respectivement que de 12 213 et 807 demandes recevables qui </w:t>
            </w:r>
            <w:r w:rsidR="00C32164">
              <w:t xml:space="preserve">ont </w:t>
            </w:r>
            <w:r>
              <w:t>abouti</w:t>
            </w:r>
            <w:r w:rsidR="00C32164">
              <w:t xml:space="preserve"> à une levée du secret </w:t>
            </w:r>
            <w:r>
              <w:t xml:space="preserve">dans seulement </w:t>
            </w:r>
            <w:r w:rsidRPr="004377BA">
              <w:rPr>
                <w:b/>
                <w:bCs/>
              </w:rPr>
              <w:t>11 % des dossiers</w:t>
            </w:r>
            <w:r>
              <w:t>. Cette situation appelle non pas une libéralisation sans règles, mais une légalisation strictement encadrée, limitée aux fins généalogiques et personnelles, assortie d’un dispositif de protection des données, d’un label public de confiance et d’un centre d’accompagnement pluridisciplinaire. C’est l’objet de la proposition de loi n° 2312.</w:t>
            </w:r>
          </w:p>
        </w:tc>
      </w:tr>
    </w:tbl>
    <w:p w14:paraId="3F55BCAC" w14:textId="77777777" w:rsidR="00AB3867" w:rsidRDefault="00AB3867">
      <w:pPr>
        <w:spacing w:after="200"/>
      </w:pPr>
    </w:p>
    <w:p w14:paraId="5733E61A" w14:textId="77777777" w:rsidR="00AB3867" w:rsidRDefault="00E71070">
      <w:pPr>
        <w:pStyle w:val="Titre1"/>
      </w:pPr>
      <w:r>
        <w:t>I. Un constat factuel qui appelle une réponse législative</w:t>
      </w:r>
    </w:p>
    <w:p w14:paraId="7D0F688E" w14:textId="77777777" w:rsidR="00AB3867" w:rsidRDefault="00E71070">
      <w:pPr>
        <w:pStyle w:val="Titre2"/>
      </w:pPr>
      <w:r>
        <w:t>1.1 Une pratique déjà massive, hors de tout contrôle</w:t>
      </w:r>
    </w:p>
    <w:p w14:paraId="532B0C1E" w14:textId="6BD37CD0" w:rsidR="00AB3867" w:rsidRDefault="00E71070">
      <w:pPr>
        <w:spacing w:before="80" w:after="100" w:line="276" w:lineRule="auto"/>
        <w:jc w:val="both"/>
      </w:pPr>
      <w:r>
        <w:t xml:space="preserve">Le droit en vigueur interdit les tests génétiques hors cadre médical, scientifique ou judiciaire, sous peine d’une amende de 3 750 euros. Cette interdiction est aujourd’hui </w:t>
      </w:r>
      <w:r w:rsidR="009E0CF3">
        <w:t>contredite</w:t>
      </w:r>
      <w:r>
        <w:t xml:space="preserve"> par les faits à grande échelle.</w:t>
      </w:r>
    </w:p>
    <w:p w14:paraId="357CB065" w14:textId="77777777" w:rsidR="00AB3867" w:rsidRDefault="00AB3867">
      <w:pPr>
        <w:spacing w:after="12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8"/>
        <w:gridCol w:w="3009"/>
        <w:gridCol w:w="3009"/>
      </w:tblGrid>
      <w:tr w:rsidR="00AB3867" w14:paraId="5AE4265E" w14:textId="77777777">
        <w:tc>
          <w:tcPr>
            <w:tcW w:w="3008" w:type="dxa"/>
            <w:shd w:val="clear" w:color="auto" w:fill="1F4E79"/>
            <w:tcMar>
              <w:top w:w="160" w:type="dxa"/>
              <w:left w:w="180" w:type="dxa"/>
              <w:bottom w:w="100" w:type="dxa"/>
              <w:right w:w="180" w:type="dxa"/>
            </w:tcMar>
            <w:vAlign w:val="center"/>
          </w:tcPr>
          <w:p w14:paraId="0B87CFD6" w14:textId="77777777" w:rsidR="00AB3867" w:rsidRDefault="00E71070">
            <w:pPr>
              <w:spacing w:after="40"/>
              <w:jc w:val="center"/>
            </w:pPr>
            <w:r>
              <w:rPr>
                <w:b/>
                <w:bCs/>
                <w:color w:val="FFFFFF"/>
                <w:sz w:val="48"/>
                <w:szCs w:val="48"/>
              </w:rPr>
              <w:t>2 millions</w:t>
            </w:r>
          </w:p>
          <w:p w14:paraId="743D009B" w14:textId="77777777" w:rsidR="00AB3867" w:rsidRDefault="00E71070">
            <w:pPr>
              <w:jc w:val="center"/>
            </w:pPr>
            <w:r>
              <w:rPr>
                <w:color w:val="D6E4F0"/>
                <w:sz w:val="18"/>
                <w:szCs w:val="18"/>
              </w:rPr>
              <w:t>de Français ont déjà réalisé un test ADN d’origines</w:t>
            </w:r>
          </w:p>
        </w:tc>
        <w:tc>
          <w:tcPr>
            <w:tcW w:w="3008" w:type="dxa"/>
            <w:shd w:val="clear" w:color="auto" w:fill="1F4E79"/>
            <w:tcMar>
              <w:top w:w="160" w:type="dxa"/>
              <w:left w:w="180" w:type="dxa"/>
              <w:bottom w:w="100" w:type="dxa"/>
              <w:right w:w="180" w:type="dxa"/>
            </w:tcMar>
            <w:vAlign w:val="center"/>
          </w:tcPr>
          <w:p w14:paraId="634D3F87" w14:textId="77777777" w:rsidR="00AB3867" w:rsidRDefault="00E71070">
            <w:pPr>
              <w:spacing w:after="40"/>
              <w:jc w:val="center"/>
            </w:pPr>
            <w:r>
              <w:rPr>
                <w:b/>
                <w:bCs/>
                <w:color w:val="FFFFFF"/>
                <w:sz w:val="48"/>
                <w:szCs w:val="48"/>
              </w:rPr>
              <w:t>100–150 k</w:t>
            </w:r>
          </w:p>
          <w:p w14:paraId="258B1C99" w14:textId="77777777" w:rsidR="00AB3867" w:rsidRDefault="00E71070">
            <w:pPr>
              <w:jc w:val="center"/>
            </w:pPr>
            <w:r>
              <w:rPr>
                <w:color w:val="D6E4F0"/>
                <w:sz w:val="18"/>
                <w:szCs w:val="18"/>
              </w:rPr>
              <w:t>nouveaux tests par an (CNIL, CESE)</w:t>
            </w:r>
          </w:p>
        </w:tc>
        <w:tc>
          <w:tcPr>
            <w:tcW w:w="3008" w:type="dxa"/>
            <w:shd w:val="clear" w:color="auto" w:fill="1F4E79"/>
            <w:tcMar>
              <w:top w:w="160" w:type="dxa"/>
              <w:left w:w="180" w:type="dxa"/>
              <w:bottom w:w="100" w:type="dxa"/>
              <w:right w:w="180" w:type="dxa"/>
            </w:tcMar>
            <w:vAlign w:val="center"/>
          </w:tcPr>
          <w:p w14:paraId="64D4EB67" w14:textId="77777777" w:rsidR="00AB3867" w:rsidRDefault="00E71070">
            <w:pPr>
              <w:spacing w:after="40"/>
              <w:jc w:val="center"/>
            </w:pPr>
            <w:r>
              <w:rPr>
                <w:b/>
                <w:bCs/>
                <w:color w:val="FFFFFF"/>
                <w:sz w:val="48"/>
                <w:szCs w:val="48"/>
              </w:rPr>
              <w:t>11 %</w:t>
            </w:r>
          </w:p>
          <w:p w14:paraId="5757B5BE" w14:textId="77777777" w:rsidR="00AB3867" w:rsidRDefault="00E71070">
            <w:pPr>
              <w:jc w:val="center"/>
            </w:pPr>
            <w:r>
              <w:rPr>
                <w:color w:val="D6E4F0"/>
                <w:sz w:val="18"/>
                <w:szCs w:val="18"/>
              </w:rPr>
              <w:t>de succès effectif CNAOP et CAPADD</w:t>
            </w:r>
          </w:p>
        </w:tc>
      </w:tr>
    </w:tbl>
    <w:p w14:paraId="7DA0D703" w14:textId="77777777" w:rsidR="00AB3867" w:rsidRDefault="00AB3867">
      <w:pPr>
        <w:spacing w:after="160"/>
      </w:pPr>
    </w:p>
    <w:p w14:paraId="1E657964" w14:textId="77777777" w:rsidR="00AB3867" w:rsidRPr="00DB21E9" w:rsidRDefault="00E71070">
      <w:pPr>
        <w:spacing w:before="80" w:after="100" w:line="276" w:lineRule="auto"/>
        <w:jc w:val="both"/>
        <w:rPr>
          <w:b/>
          <w:bCs/>
        </w:rPr>
      </w:pPr>
      <w:r>
        <w:t xml:space="preserve">Ces tests sont réalisés auprès d’opérateurs étrangers, sans accompagnement, sans orientation vers des prestataires fiables et, dans de nombreux cas, sans application effective du règlement général sur la protection des données (RGPD). La CNIL a alerté sur les garanties insuffisantes concernant la </w:t>
      </w:r>
      <w:r w:rsidRPr="009E0CF3">
        <w:rPr>
          <w:b/>
          <w:bCs/>
        </w:rPr>
        <w:t>qualité</w:t>
      </w:r>
      <w:r>
        <w:t xml:space="preserve"> des analyses, la </w:t>
      </w:r>
      <w:r w:rsidRPr="009E0CF3">
        <w:rPr>
          <w:b/>
          <w:bCs/>
        </w:rPr>
        <w:t>sécurité</w:t>
      </w:r>
      <w:r>
        <w:t xml:space="preserve"> des échantillons et la </w:t>
      </w:r>
      <w:r w:rsidRPr="00DB21E9">
        <w:rPr>
          <w:b/>
          <w:bCs/>
        </w:rPr>
        <w:t>transmission des données à des tiers.</w:t>
      </w:r>
    </w:p>
    <w:p w14:paraId="35EEA900" w14:textId="77777777" w:rsidR="00AB3867" w:rsidRDefault="00E71070">
      <w:pPr>
        <w:pStyle w:val="Titre2"/>
      </w:pPr>
      <w:r>
        <w:t>1.2 Les limites structurelles des dispositifs publics existants</w:t>
      </w:r>
    </w:p>
    <w:p w14:paraId="1FD63D45" w14:textId="25D4C5CB" w:rsidR="00AB3867" w:rsidRDefault="00E71070" w:rsidP="006D25A8">
      <w:pPr>
        <w:spacing w:before="80" w:after="100" w:line="276" w:lineRule="auto"/>
        <w:jc w:val="both"/>
      </w:pPr>
      <w:r>
        <w:t>La Commission d’accès aux données personnelles liées au don (</w:t>
      </w:r>
      <w:r w:rsidRPr="00DE34AD">
        <w:rPr>
          <w:b/>
          <w:bCs/>
        </w:rPr>
        <w:t>CAPADD</w:t>
      </w:r>
      <w:r>
        <w:t xml:space="preserve">), créée en septembre 2022, a enregistré </w:t>
      </w:r>
      <w:r w:rsidRPr="007043EB">
        <w:t>807</w:t>
      </w:r>
      <w:r>
        <w:t xml:space="preserve"> demandes recevables au 31 août 2025. Seules </w:t>
      </w:r>
      <w:r w:rsidRPr="007043EB">
        <w:t>90</w:t>
      </w:r>
      <w:r>
        <w:t xml:space="preserve"> ont donné lieu à la communication effective de données </w:t>
      </w:r>
      <w:proofErr w:type="spellStart"/>
      <w:r>
        <w:t>identifiantes</w:t>
      </w:r>
      <w:proofErr w:type="spellEnd"/>
      <w:r>
        <w:t xml:space="preserve"> ou non </w:t>
      </w:r>
      <w:proofErr w:type="spellStart"/>
      <w:r>
        <w:t>identifiantes</w:t>
      </w:r>
      <w:proofErr w:type="spellEnd"/>
      <w:r>
        <w:t xml:space="preserve">, soit un taux de succès d’environ </w:t>
      </w:r>
      <w:r w:rsidRPr="003D63E9">
        <w:rPr>
          <w:b/>
          <w:bCs/>
        </w:rPr>
        <w:t>11 %</w:t>
      </w:r>
      <w:r w:rsidR="006D25A8">
        <w:rPr>
          <w:b/>
          <w:bCs/>
        </w:rPr>
        <w:t xml:space="preserve">. </w:t>
      </w:r>
      <w:r w:rsidR="006D25A8" w:rsidRPr="00880D3D">
        <w:t>Dans</w:t>
      </w:r>
      <w:r>
        <w:t xml:space="preserve"> près de </w:t>
      </w:r>
      <w:r w:rsidRPr="00DE34AD">
        <w:rPr>
          <w:b/>
          <w:bCs/>
        </w:rPr>
        <w:t>60</w:t>
      </w:r>
      <w:r>
        <w:t> % des dossiers (466 sur 807), le donneur n’a pu être ni identifié ni localisé</w:t>
      </w:r>
      <w:r w:rsidR="00FA27DF">
        <w:t xml:space="preserve"> et n'a donc pas pu être interrogé sur son souhait de lever ou non son anonymat</w:t>
      </w:r>
      <w:r>
        <w:t xml:space="preserve"> (</w:t>
      </w:r>
      <w:hyperlink r:id="rId5" w:history="1">
        <w:r w:rsidRPr="0018212D">
          <w:rPr>
            <w:rStyle w:val="Lienhypertexte"/>
          </w:rPr>
          <w:t>Rapport d’activité CAPADD 2024-2025, p. 15</w:t>
        </w:r>
      </w:hyperlink>
      <w:r>
        <w:t>).</w:t>
      </w:r>
    </w:p>
    <w:p w14:paraId="78F9327D" w14:textId="2A3A2E6F" w:rsidR="00AB3867" w:rsidRDefault="00E71070">
      <w:pPr>
        <w:spacing w:before="80" w:after="100" w:line="276" w:lineRule="auto"/>
        <w:jc w:val="both"/>
      </w:pPr>
      <w:r>
        <w:t>Le Conseil national pour l’accès aux origines personnelles (</w:t>
      </w:r>
      <w:r w:rsidRPr="003D63E9">
        <w:rPr>
          <w:b/>
          <w:bCs/>
        </w:rPr>
        <w:t>CNAOP</w:t>
      </w:r>
      <w:r>
        <w:t>) présente un bilan comparable :</w:t>
      </w:r>
      <w:r w:rsidR="003D63E9">
        <w:t xml:space="preserve"> depuis 2002,</w:t>
      </w:r>
      <w:r>
        <w:t xml:space="preserve"> sur 12 213 demandes recevables émanant de pupilles de l’État et de personnes nées sous X, la levée du secret de l’identité du parent de naissance n’a été obtenue que dans </w:t>
      </w:r>
      <w:r w:rsidRPr="003D63E9">
        <w:rPr>
          <w:b/>
          <w:bCs/>
        </w:rPr>
        <w:t>11 %</w:t>
      </w:r>
      <w:r>
        <w:t xml:space="preserve"> des dossiers clos</w:t>
      </w:r>
      <w:r w:rsidR="00B855ED">
        <w:t xml:space="preserve"> </w:t>
      </w:r>
      <w:r w:rsidR="00B855ED">
        <w:rPr>
          <w:b/>
          <w:bCs/>
        </w:rPr>
        <w:t xml:space="preserve"> </w:t>
      </w:r>
      <w:r w:rsidR="00B855ED" w:rsidRPr="00880D3D">
        <w:t>(+ 12% de communication de l’identité suite au décès et 12 % d’absence de secret constaté après ouverture du dossier)</w:t>
      </w:r>
      <w:r>
        <w:t xml:space="preserve">. Dans </w:t>
      </w:r>
      <w:r w:rsidRPr="007043EB">
        <w:rPr>
          <w:b/>
          <w:bCs/>
        </w:rPr>
        <w:t>42 %</w:t>
      </w:r>
      <w:r>
        <w:t xml:space="preserve"> de ces dossiers, la clôture est intervenue faute de renseignements permettant d’identifier ou de localiser un parent de naissance (</w:t>
      </w:r>
      <w:hyperlink r:id="rId6" w:history="1">
        <w:r w:rsidRPr="002E1C2C">
          <w:rPr>
            <w:rStyle w:val="Lienhypertexte"/>
          </w:rPr>
          <w:t>Rapport d’activité CNAOP 2024, p. 29 et 32)</w:t>
        </w:r>
      </w:hyperlink>
      <w:r>
        <w:t>.</w:t>
      </w:r>
    </w:p>
    <w:p w14:paraId="0B12EEFB" w14:textId="2941F03B" w:rsidR="00AB3867" w:rsidRDefault="00E71070">
      <w:pPr>
        <w:spacing w:before="80" w:after="100" w:line="276" w:lineRule="auto"/>
        <w:jc w:val="both"/>
      </w:pPr>
      <w:r>
        <w:t xml:space="preserve">Ces données traduisent une limite objective : les dispositifs publics ne peuvent </w:t>
      </w:r>
      <w:r w:rsidR="00D42F11">
        <w:t xml:space="preserve">pas </w:t>
      </w:r>
      <w:r>
        <w:t>interroger</w:t>
      </w:r>
      <w:r w:rsidR="0061325B">
        <w:t xml:space="preserve"> </w:t>
      </w:r>
      <w:r w:rsidR="007043EB">
        <w:t>le</w:t>
      </w:r>
      <w:r>
        <w:t xml:space="preserve"> </w:t>
      </w:r>
      <w:r w:rsidR="00D42F11">
        <w:t xml:space="preserve">donneur ou la mère de naissance </w:t>
      </w:r>
      <w:r>
        <w:t xml:space="preserve">sur </w:t>
      </w:r>
      <w:r w:rsidR="00384765">
        <w:t>son</w:t>
      </w:r>
      <w:r>
        <w:t xml:space="preserve"> souhait de lever l’anonymat </w:t>
      </w:r>
      <w:r w:rsidR="0061325B">
        <w:t>puisqu'ils</w:t>
      </w:r>
      <w:r w:rsidR="0061325B" w:rsidRPr="00783EE5">
        <w:rPr>
          <w:b/>
          <w:bCs/>
        </w:rPr>
        <w:t xml:space="preserve"> ne</w:t>
      </w:r>
      <w:r w:rsidRPr="00783EE5">
        <w:rPr>
          <w:b/>
          <w:bCs/>
        </w:rPr>
        <w:t xml:space="preserve"> parviennent </w:t>
      </w:r>
      <w:r w:rsidR="00417CB8">
        <w:rPr>
          <w:b/>
          <w:bCs/>
        </w:rPr>
        <w:t xml:space="preserve">même </w:t>
      </w:r>
      <w:r w:rsidRPr="00783EE5">
        <w:rPr>
          <w:b/>
          <w:bCs/>
        </w:rPr>
        <w:t xml:space="preserve">pas à </w:t>
      </w:r>
      <w:r w:rsidR="002052DD" w:rsidRPr="00783EE5">
        <w:rPr>
          <w:b/>
          <w:bCs/>
        </w:rPr>
        <w:t>le</w:t>
      </w:r>
      <w:r w:rsidR="00432996">
        <w:rPr>
          <w:b/>
          <w:bCs/>
        </w:rPr>
        <w:t xml:space="preserve"> ou la</w:t>
      </w:r>
      <w:r w:rsidRPr="00783EE5">
        <w:rPr>
          <w:b/>
          <w:bCs/>
        </w:rPr>
        <w:t xml:space="preserve"> retrouver. </w:t>
      </w:r>
      <w:r>
        <w:t xml:space="preserve">Le test ADN d’origines, par son fonctionnement en bases de correspondances, </w:t>
      </w:r>
      <w:r w:rsidR="00BA0756">
        <w:t>permet de pallier aux problèmes d’archivages de dossiers.</w:t>
      </w:r>
    </w:p>
    <w:p w14:paraId="7066D98A" w14:textId="77777777" w:rsidR="00AB3867" w:rsidRDefault="00E71070">
      <w:pPr>
        <w:pStyle w:val="Titre2"/>
      </w:pPr>
      <w:r>
        <w:t>1.3 Un public large et des situations diverses</w:t>
      </w:r>
    </w:p>
    <w:p w14:paraId="34B4727A" w14:textId="77777777" w:rsidR="00AB3867" w:rsidRDefault="00E71070">
      <w:pPr>
        <w:spacing w:before="80" w:after="100" w:line="276" w:lineRule="auto"/>
        <w:jc w:val="both"/>
      </w:pPr>
      <w:r>
        <w:t>Les</w:t>
      </w:r>
      <w:r w:rsidRPr="0010085C">
        <w:rPr>
          <w:b/>
          <w:bCs/>
        </w:rPr>
        <w:t xml:space="preserve"> personnes concernées</w:t>
      </w:r>
      <w:r>
        <w:t xml:space="preserve"> par la recherche de leurs origines biologiques sont nombreuses et relèvent de situations variées :</w:t>
      </w:r>
    </w:p>
    <w:p w14:paraId="09988904" w14:textId="77777777" w:rsidR="00AB3867" w:rsidRDefault="00E71070">
      <w:pPr>
        <w:pStyle w:val="Paragraphedeliste"/>
        <w:numPr>
          <w:ilvl w:val="0"/>
          <w:numId w:val="2"/>
        </w:numPr>
        <w:spacing w:before="60" w:after="60"/>
      </w:pPr>
      <w:r>
        <w:t xml:space="preserve">personnes </w:t>
      </w:r>
      <w:r w:rsidRPr="0010085C">
        <w:rPr>
          <w:b/>
          <w:bCs/>
        </w:rPr>
        <w:t xml:space="preserve">nées sous X ou pupilles de l’État </w:t>
      </w:r>
      <w:r>
        <w:t>;</w:t>
      </w:r>
    </w:p>
    <w:p w14:paraId="3BCD1800" w14:textId="77777777" w:rsidR="00AB3867" w:rsidRDefault="00E71070">
      <w:pPr>
        <w:pStyle w:val="Paragraphedeliste"/>
        <w:numPr>
          <w:ilvl w:val="0"/>
          <w:numId w:val="2"/>
        </w:numPr>
        <w:spacing w:before="60" w:after="60"/>
      </w:pPr>
      <w:r>
        <w:t xml:space="preserve">personnes </w:t>
      </w:r>
      <w:r w:rsidRPr="0010085C">
        <w:rPr>
          <w:b/>
          <w:bCs/>
        </w:rPr>
        <w:t xml:space="preserve">conçues par don </w:t>
      </w:r>
      <w:r>
        <w:t>avant le 31 mars 2025, estimées à environ 100 000 en France ;</w:t>
      </w:r>
    </w:p>
    <w:p w14:paraId="461E7EA8" w14:textId="77777777" w:rsidR="00AB3867" w:rsidRDefault="00E71070">
      <w:pPr>
        <w:pStyle w:val="Paragraphedeliste"/>
        <w:numPr>
          <w:ilvl w:val="0"/>
          <w:numId w:val="2"/>
        </w:numPr>
        <w:spacing w:before="60" w:after="60"/>
      </w:pPr>
      <w:r>
        <w:t xml:space="preserve">personnes </w:t>
      </w:r>
      <w:r w:rsidRPr="0010085C">
        <w:rPr>
          <w:b/>
          <w:bCs/>
        </w:rPr>
        <w:t xml:space="preserve">adoptées à l’international </w:t>
      </w:r>
      <w:r>
        <w:t>(au moins 120 000), dont certaines issues de pratiques d’adoption illégales documentées par la mission interministérielle d’octobre 2023 ;</w:t>
      </w:r>
    </w:p>
    <w:p w14:paraId="1AEDD7E3" w14:textId="77777777" w:rsidR="00AB3867" w:rsidRDefault="00E71070">
      <w:pPr>
        <w:pStyle w:val="Paragraphedeliste"/>
        <w:numPr>
          <w:ilvl w:val="0"/>
          <w:numId w:val="2"/>
        </w:numPr>
        <w:spacing w:before="60" w:after="60"/>
      </w:pPr>
      <w:r>
        <w:t>personnes issues d’une</w:t>
      </w:r>
      <w:r w:rsidRPr="0010085C">
        <w:rPr>
          <w:b/>
          <w:bCs/>
        </w:rPr>
        <w:t xml:space="preserve"> PMA réalisée à l’étranger ou en France hors </w:t>
      </w:r>
      <w:proofErr w:type="spellStart"/>
      <w:r w:rsidRPr="0010085C">
        <w:rPr>
          <w:b/>
          <w:bCs/>
        </w:rPr>
        <w:t>Cecos</w:t>
      </w:r>
      <w:proofErr w:type="spellEnd"/>
      <w:r w:rsidRPr="0010085C">
        <w:rPr>
          <w:b/>
          <w:bCs/>
        </w:rPr>
        <w:t xml:space="preserve"> </w:t>
      </w:r>
      <w:r>
        <w:t>avant 1994 ;</w:t>
      </w:r>
    </w:p>
    <w:p w14:paraId="5910B8FB" w14:textId="7659CB22" w:rsidR="0065202B" w:rsidRDefault="0065202B">
      <w:pPr>
        <w:pStyle w:val="Paragraphedeliste"/>
        <w:numPr>
          <w:ilvl w:val="0"/>
          <w:numId w:val="2"/>
        </w:numPr>
        <w:spacing w:before="60" w:after="60"/>
      </w:pPr>
      <w:r>
        <w:t>personnes qui ne connaissent pas une partie de leur histoire ;</w:t>
      </w:r>
    </w:p>
    <w:p w14:paraId="317FE5AD" w14:textId="77777777" w:rsidR="00AB3867" w:rsidRDefault="00E71070">
      <w:pPr>
        <w:pStyle w:val="Paragraphedeliste"/>
        <w:numPr>
          <w:ilvl w:val="0"/>
          <w:numId w:val="2"/>
        </w:numPr>
        <w:spacing w:before="60" w:after="60"/>
      </w:pPr>
      <w:r>
        <w:t>personnes en quête de liens avec une</w:t>
      </w:r>
      <w:r w:rsidRPr="009533BC">
        <w:rPr>
          <w:b/>
          <w:bCs/>
        </w:rPr>
        <w:t xml:space="preserve"> fratrie génétique</w:t>
      </w:r>
      <w:r>
        <w:t>, notamment dans les contextes de dons multiples ou d’adoptions séparées.</w:t>
      </w:r>
    </w:p>
    <w:p w14:paraId="129AD8E5" w14:textId="77777777" w:rsidR="00AB3867" w:rsidRDefault="00AB3867">
      <w:pPr>
        <w:spacing w:after="120"/>
      </w:pPr>
    </w:p>
    <w:p w14:paraId="597F81C3" w14:textId="77777777" w:rsidR="00AB3867" w:rsidRDefault="00E71070">
      <w:pPr>
        <w:spacing w:before="80" w:after="100" w:line="276" w:lineRule="auto"/>
        <w:jc w:val="both"/>
      </w:pPr>
      <w:r>
        <w:t>Ces situations illustrent que la demande d’accès aux origines ne peut, dans de nombreux cas, trouver de réponse par les seules voies administratives existantes.</w:t>
      </w:r>
    </w:p>
    <w:p w14:paraId="0BA1F501" w14:textId="77777777" w:rsidR="00AB3867" w:rsidRDefault="00AB3867">
      <w:pPr>
        <w:spacing w:after="200"/>
      </w:pPr>
    </w:p>
    <w:p w14:paraId="5F40CEB3" w14:textId="77777777" w:rsidR="00AB3867" w:rsidRDefault="00E71070">
      <w:pPr>
        <w:pStyle w:val="Titre1"/>
      </w:pPr>
      <w:r>
        <w:t>II. Fondement juridique : un droit consacré par les textes</w:t>
      </w:r>
    </w:p>
    <w:p w14:paraId="544690BA" w14:textId="667CAA8E" w:rsidR="00AB3867" w:rsidRDefault="00E71070">
      <w:pPr>
        <w:spacing w:before="80" w:after="100" w:line="276" w:lineRule="auto"/>
        <w:jc w:val="both"/>
      </w:pPr>
      <w:r>
        <w:t>Le droit de connaître ses origines</w:t>
      </w:r>
      <w:r w:rsidR="00CA38D1">
        <w:t xml:space="preserve"> est reconnu en droit français et </w:t>
      </w:r>
      <w:r>
        <w:t>bénéficie d’une protection conventionnelle établie :</w:t>
      </w:r>
    </w:p>
    <w:p w14:paraId="322B1865" w14:textId="371F4DFB" w:rsidR="00AB3867" w:rsidRDefault="00E71070">
      <w:pPr>
        <w:pStyle w:val="Paragraphedeliste"/>
        <w:numPr>
          <w:ilvl w:val="0"/>
          <w:numId w:val="2"/>
        </w:numPr>
        <w:spacing w:before="60" w:after="60"/>
      </w:pPr>
      <w:r>
        <w:rPr>
          <w:b/>
          <w:bCs/>
        </w:rPr>
        <w:t>Article 8 de la Convention européenne des droits de l’homme</w:t>
      </w:r>
      <w:r w:rsidR="000D3FC6">
        <w:rPr>
          <w:b/>
          <w:bCs/>
        </w:rPr>
        <w:t xml:space="preserve"> qui vise « toute personne »</w:t>
      </w:r>
      <w:r>
        <w:rPr>
          <w:b/>
          <w:bCs/>
        </w:rPr>
        <w:t> </w:t>
      </w:r>
      <w:r>
        <w:t>: la Cour européenne des droits de l’homme</w:t>
      </w:r>
      <w:r w:rsidR="002421D3">
        <w:t xml:space="preserve"> a</w:t>
      </w:r>
      <w:r>
        <w:t xml:space="preserve"> reconnu</w:t>
      </w:r>
      <w:r w:rsidR="002421D3">
        <w:t xml:space="preserve"> à de multiples reprises depuis l'arrêt </w:t>
      </w:r>
      <w:proofErr w:type="spellStart"/>
      <w:r w:rsidR="009D4EAE">
        <w:t>Gaskin</w:t>
      </w:r>
      <w:proofErr w:type="spellEnd"/>
      <w:r w:rsidR="009D4EAE" w:rsidRPr="009D4EAE">
        <w:rPr>
          <w:i/>
          <w:iCs/>
        </w:rPr>
        <w:t xml:space="preserve"> </w:t>
      </w:r>
      <w:r w:rsidR="002421D3" w:rsidRPr="009D4EAE">
        <w:rPr>
          <w:i/>
          <w:iCs/>
        </w:rPr>
        <w:t>contre Royaume-Uni en 1989,</w:t>
      </w:r>
      <w:r w:rsidR="002421D3">
        <w:t xml:space="preserve"> </w:t>
      </w:r>
      <w:r>
        <w:t>que la connaissance de l’identité des géniteurs constitue un « </w:t>
      </w:r>
      <w:r w:rsidRPr="00113803">
        <w:rPr>
          <w:b/>
          <w:bCs/>
        </w:rPr>
        <w:t>intérêt vita</w:t>
      </w:r>
      <w:r>
        <w:t>l » protégé par le droit à la vie privée (</w:t>
      </w:r>
      <w:r>
        <w:rPr>
          <w:i/>
          <w:iCs/>
        </w:rPr>
        <w:t>Mikulic c. Croatie</w:t>
      </w:r>
      <w:r>
        <w:t xml:space="preserve">, 2002 ; </w:t>
      </w:r>
      <w:proofErr w:type="spellStart"/>
      <w:r>
        <w:rPr>
          <w:i/>
          <w:iCs/>
        </w:rPr>
        <w:t>Odièvre</w:t>
      </w:r>
      <w:proofErr w:type="spellEnd"/>
      <w:r>
        <w:rPr>
          <w:i/>
          <w:iCs/>
        </w:rPr>
        <w:t xml:space="preserve"> c. France</w:t>
      </w:r>
      <w:r>
        <w:t xml:space="preserve">, 2003). Elle a également consacré le droit à l’identité et à l’épanouissement personnel, qui inclut la possibilité de </w:t>
      </w:r>
      <w:r w:rsidRPr="00113803">
        <w:rPr>
          <w:b/>
          <w:bCs/>
        </w:rPr>
        <w:t xml:space="preserve">nouer des relations </w:t>
      </w:r>
      <w:r>
        <w:t>avec ses semblables (</w:t>
      </w:r>
      <w:proofErr w:type="spellStart"/>
      <w:r>
        <w:rPr>
          <w:i/>
          <w:iCs/>
        </w:rPr>
        <w:t>Friedl</w:t>
      </w:r>
      <w:proofErr w:type="spellEnd"/>
      <w:r>
        <w:rPr>
          <w:i/>
          <w:iCs/>
        </w:rPr>
        <w:t xml:space="preserve"> c. Autriche</w:t>
      </w:r>
      <w:r>
        <w:t>, 1995).</w:t>
      </w:r>
    </w:p>
    <w:p w14:paraId="3A53B8F4" w14:textId="091FE2C4" w:rsidR="00AB3867" w:rsidRDefault="00E71070">
      <w:pPr>
        <w:pStyle w:val="Paragraphedeliste"/>
        <w:numPr>
          <w:ilvl w:val="0"/>
          <w:numId w:val="2"/>
        </w:numPr>
        <w:spacing w:before="60" w:after="60"/>
      </w:pPr>
      <w:r>
        <w:rPr>
          <w:b/>
          <w:bCs/>
        </w:rPr>
        <w:t>Article 7 § 1 de la Convention internationale des droits de l’enfant </w:t>
      </w:r>
      <w:r>
        <w:t>: l’enfant a le droit, dans la mesure du possible, de connaître ses parents biologiques. Cette disposition a été interprétée en ce sens</w:t>
      </w:r>
      <w:r w:rsidR="00113803">
        <w:t> </w:t>
      </w:r>
      <w:r w:rsidR="00CA230F">
        <w:t xml:space="preserve">dans </w:t>
      </w:r>
      <w:r>
        <w:t>la Recommandation de la Défenseure des droits de l’enfant de 2008.</w:t>
      </w:r>
    </w:p>
    <w:p w14:paraId="38EB2F73" w14:textId="77777777" w:rsidR="00AB3867" w:rsidRDefault="00AB3867">
      <w:pPr>
        <w:spacing w:after="120"/>
      </w:pPr>
    </w:p>
    <w:p w14:paraId="31881B35" w14:textId="4366FAE2" w:rsidR="00AB3867" w:rsidRDefault="00E71070">
      <w:pPr>
        <w:spacing w:before="80" w:after="100" w:line="276" w:lineRule="auto"/>
        <w:jc w:val="both"/>
      </w:pPr>
      <w:r>
        <w:t>La proposition de loi n° 2312 s’inscrit dans ce cadre normatif en cherchant à</w:t>
      </w:r>
      <w:r w:rsidRPr="00CA230F">
        <w:rPr>
          <w:b/>
          <w:bCs/>
        </w:rPr>
        <w:t xml:space="preserve"> rendre effectif</w:t>
      </w:r>
      <w:r>
        <w:t xml:space="preserve"> un droit </w:t>
      </w:r>
      <w:r w:rsidR="00CA230F">
        <w:t xml:space="preserve">fondamental </w:t>
      </w:r>
      <w:r>
        <w:t>reconnu</w:t>
      </w:r>
      <w:r w:rsidR="00CA230F">
        <w:t>.</w:t>
      </w:r>
    </w:p>
    <w:p w14:paraId="4D887E38" w14:textId="77777777" w:rsidR="00AB3867" w:rsidRDefault="00AB3867">
      <w:pPr>
        <w:spacing w:after="200"/>
      </w:pPr>
    </w:p>
    <w:p w14:paraId="085F0C81" w14:textId="77777777" w:rsidR="00AB3867" w:rsidRDefault="00E71070">
      <w:pPr>
        <w:pStyle w:val="Titre1"/>
      </w:pPr>
      <w:r>
        <w:t>III. Objectifs et périmètre de la proposition de loi</w:t>
      </w:r>
    </w:p>
    <w:p w14:paraId="416F6264" w14:textId="77777777" w:rsidR="00AB3867" w:rsidRDefault="00E71070">
      <w:pPr>
        <w:pStyle w:val="Titre2"/>
      </w:pPr>
      <w:r>
        <w:t>3.1 Ce que la proposition de loi autorise</w:t>
      </w:r>
    </w:p>
    <w:p w14:paraId="691E72A3" w14:textId="77777777" w:rsidR="00AB3867" w:rsidRDefault="00E71070">
      <w:pPr>
        <w:spacing w:before="80" w:after="100" w:line="276" w:lineRule="auto"/>
        <w:jc w:val="both"/>
      </w:pPr>
      <w:r>
        <w:t>La proposition de loi vise à dépénaliser les tests ADN réalisés à des</w:t>
      </w:r>
      <w:r w:rsidRPr="00414C7B">
        <w:rPr>
          <w:b/>
          <w:bCs/>
        </w:rPr>
        <w:t xml:space="preserve"> fins strictement personnelles et généalogiques</w:t>
      </w:r>
      <w:r>
        <w:t>, c’est-à-dire ceux permettant :</w:t>
      </w:r>
    </w:p>
    <w:p w14:paraId="5020CF06" w14:textId="538CE797" w:rsidR="00AB3867" w:rsidRDefault="00E71070">
      <w:pPr>
        <w:pStyle w:val="Paragraphedeliste"/>
        <w:numPr>
          <w:ilvl w:val="0"/>
          <w:numId w:val="2"/>
        </w:numPr>
        <w:spacing w:before="60" w:after="60"/>
      </w:pPr>
      <w:r>
        <w:t>d’estimer les origines géographiques de ses ancêtres ;</w:t>
      </w:r>
    </w:p>
    <w:p w14:paraId="15B30408" w14:textId="77777777" w:rsidR="00AB3867" w:rsidRDefault="00E71070">
      <w:pPr>
        <w:pStyle w:val="Paragraphedeliste"/>
        <w:numPr>
          <w:ilvl w:val="0"/>
          <w:numId w:val="2"/>
        </w:numPr>
        <w:spacing w:before="60" w:after="60"/>
      </w:pPr>
      <w:r>
        <w:t>d’identifier, sur option volontaire, des correspondances avec des personnes partageant une proximité génétique ;</w:t>
      </w:r>
    </w:p>
    <w:p w14:paraId="0FAE5B22" w14:textId="77777777" w:rsidR="00AB3867" w:rsidRDefault="00E71070">
      <w:pPr>
        <w:pStyle w:val="Paragraphedeliste"/>
        <w:numPr>
          <w:ilvl w:val="0"/>
          <w:numId w:val="2"/>
        </w:numPr>
        <w:spacing w:before="60" w:after="60"/>
      </w:pPr>
      <w:r>
        <w:t>d’accompagner la recherche de son histoire personnelle.</w:t>
      </w:r>
    </w:p>
    <w:p w14:paraId="2EEAF1FB" w14:textId="77777777" w:rsidR="00AB3867" w:rsidRDefault="00E71070">
      <w:pPr>
        <w:pStyle w:val="Titre2"/>
      </w:pPr>
      <w:r>
        <w:t>3.2 Ce que la proposition de loi exclut expressément</w:t>
      </w:r>
    </w:p>
    <w:p w14:paraId="065200BB" w14:textId="77777777" w:rsidR="00AB3867" w:rsidRDefault="00E71070">
      <w:pPr>
        <w:spacing w:before="80" w:after="100" w:line="276" w:lineRule="auto"/>
        <w:jc w:val="both"/>
      </w:pPr>
      <w:r>
        <w:t>La dépénalisation est circonscrite et ne s’étend pas :</w:t>
      </w:r>
    </w:p>
    <w:p w14:paraId="12F2B18C" w14:textId="77777777" w:rsidR="00AB3867" w:rsidRDefault="00E71070">
      <w:pPr>
        <w:pStyle w:val="Paragraphedeliste"/>
        <w:numPr>
          <w:ilvl w:val="0"/>
          <w:numId w:val="2"/>
        </w:numPr>
        <w:spacing w:before="60" w:after="60"/>
      </w:pPr>
      <w:r>
        <w:t>au</w:t>
      </w:r>
      <w:r w:rsidRPr="00015F21">
        <w:rPr>
          <w:b/>
          <w:bCs/>
        </w:rPr>
        <w:t xml:space="preserve">x tests de prédisposition médicale </w:t>
      </w:r>
      <w:r>
        <w:t>ou de risque pathologique ;</w:t>
      </w:r>
    </w:p>
    <w:p w14:paraId="0391F066" w14:textId="77777777" w:rsidR="00AB3867" w:rsidRDefault="00E71070">
      <w:pPr>
        <w:pStyle w:val="Paragraphedeliste"/>
        <w:numPr>
          <w:ilvl w:val="0"/>
          <w:numId w:val="2"/>
        </w:numPr>
        <w:spacing w:before="60" w:after="60"/>
      </w:pPr>
      <w:r>
        <w:t>aux informations de santé présentes ou futures ;</w:t>
      </w:r>
    </w:p>
    <w:p w14:paraId="10C036CC" w14:textId="77777777" w:rsidR="00AB3867" w:rsidRDefault="00E71070">
      <w:pPr>
        <w:pStyle w:val="Paragraphedeliste"/>
        <w:numPr>
          <w:ilvl w:val="0"/>
          <w:numId w:val="2"/>
        </w:numPr>
        <w:spacing w:before="60" w:after="60"/>
      </w:pPr>
      <w:r>
        <w:t>aux usages par les assureurs, les employeurs ou tout tiers à finalité économique ;</w:t>
      </w:r>
    </w:p>
    <w:p w14:paraId="3902FD5C" w14:textId="51E0D650" w:rsidR="00AB3867" w:rsidRDefault="00E71070">
      <w:pPr>
        <w:pStyle w:val="Paragraphedeliste"/>
        <w:numPr>
          <w:ilvl w:val="0"/>
          <w:numId w:val="2"/>
        </w:numPr>
        <w:spacing w:before="60" w:after="60"/>
      </w:pPr>
      <w:r>
        <w:t>aux</w:t>
      </w:r>
      <w:r w:rsidRPr="00015F21">
        <w:rPr>
          <w:b/>
          <w:bCs/>
        </w:rPr>
        <w:t xml:space="preserve"> procédures de filiation</w:t>
      </w:r>
      <w:r>
        <w:t xml:space="preserve">, de </w:t>
      </w:r>
      <w:r w:rsidR="00B964D2">
        <w:t>succession</w:t>
      </w:r>
      <w:r>
        <w:t xml:space="preserve"> ou de responsabilité civile ;</w:t>
      </w:r>
    </w:p>
    <w:p w14:paraId="42BE96AD" w14:textId="77777777" w:rsidR="00AB3867" w:rsidRDefault="00E71070">
      <w:pPr>
        <w:pStyle w:val="Paragraphedeliste"/>
        <w:numPr>
          <w:ilvl w:val="0"/>
          <w:numId w:val="2"/>
        </w:numPr>
        <w:spacing w:before="60" w:after="60"/>
      </w:pPr>
      <w:r>
        <w:t>aux traitements de données à des fins de recherche sans consentement spécifique et nouveau.</w:t>
      </w:r>
    </w:p>
    <w:p w14:paraId="24A7460A" w14:textId="77777777" w:rsidR="00AB3867" w:rsidRDefault="00AB3867">
      <w:pPr>
        <w:spacing w:after="120"/>
      </w:pPr>
    </w:p>
    <w:p w14:paraId="4036A348" w14:textId="77777777" w:rsidR="00AB3867" w:rsidRDefault="00E71070">
      <w:pPr>
        <w:spacing w:before="80" w:after="100" w:line="276" w:lineRule="auto"/>
        <w:jc w:val="both"/>
      </w:pPr>
      <w:r>
        <w:t>Le principe est posé sans ambiguïté : un test ADN d’origines n’a aucune</w:t>
      </w:r>
      <w:r w:rsidRPr="00282CDD">
        <w:rPr>
          <w:b/>
          <w:bCs/>
        </w:rPr>
        <w:t xml:space="preserve"> valeur juridique </w:t>
      </w:r>
      <w:r>
        <w:t>pour établir ou contester une filiation, ouvrir des droits successoraux, engager une responsabilité civile ou remettre en cause un état civil. La filiation demeure du ressort exclusif du juge.</w:t>
      </w:r>
    </w:p>
    <w:p w14:paraId="0B22DD19" w14:textId="77777777" w:rsidR="00AB3867" w:rsidRDefault="00AB3867">
      <w:pPr>
        <w:spacing w:after="200"/>
      </w:pPr>
    </w:p>
    <w:p w14:paraId="5388B6B0" w14:textId="77777777" w:rsidR="00AB3867" w:rsidRDefault="00E71070">
      <w:pPr>
        <w:pStyle w:val="Titre1"/>
      </w:pPr>
      <w:r>
        <w:t>IV. Réponse aux objections principales</w:t>
      </w:r>
    </w:p>
    <w:p w14:paraId="3ED55707" w14:textId="77777777" w:rsidR="00AB3867" w:rsidRDefault="00E71070">
      <w:pPr>
        <w:spacing w:before="80" w:after="100" w:line="276" w:lineRule="auto"/>
        <w:jc w:val="both"/>
      </w:pPr>
      <w:r>
        <w:t>Plusieurs inquiétudes légitimes ont été formulées à l’égard de cette proposition. Elles méritent une réponse précise.</w:t>
      </w:r>
    </w:p>
    <w:p w14:paraId="19788043" w14:textId="77777777" w:rsidR="00AB3867" w:rsidRDefault="00AB3867">
      <w:pPr>
        <w:spacing w:after="8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48F54875" w14:textId="77777777">
        <w:tc>
          <w:tcPr>
            <w:tcW w:w="9026" w:type="dxa"/>
            <w:tcBorders>
              <w:top w:val="single" w:sz="4" w:space="0" w:color="2E75B6"/>
              <w:left w:val="single" w:sz="20" w:space="0" w:color="2E75B6"/>
            </w:tcBorders>
            <w:shd w:val="clear" w:color="auto" w:fill="E8EFF7"/>
            <w:tcMar>
              <w:top w:w="100" w:type="dxa"/>
              <w:left w:w="200" w:type="dxa"/>
              <w:bottom w:w="60" w:type="dxa"/>
              <w:right w:w="200" w:type="dxa"/>
            </w:tcMar>
          </w:tcPr>
          <w:p w14:paraId="3EDD4037" w14:textId="77777777" w:rsidR="00AB3867" w:rsidRDefault="00E71070">
            <w:r>
              <w:rPr>
                <w:b/>
                <w:bCs/>
                <w:color w:val="1F4E79"/>
                <w:sz w:val="21"/>
                <w:szCs w:val="21"/>
              </w:rPr>
              <w:t xml:space="preserve">Objection : </w:t>
            </w:r>
            <w:r>
              <w:rPr>
                <w:i/>
                <w:iCs/>
                <w:color w:val="444444"/>
                <w:sz w:val="21"/>
                <w:szCs w:val="21"/>
              </w:rPr>
              <w:t>« La légalisation exposera les données génétiques »</w:t>
            </w:r>
          </w:p>
        </w:tc>
      </w:tr>
      <w:tr w:rsidR="00AB3867" w14:paraId="058DC923" w14:textId="77777777">
        <w:tc>
          <w:tcPr>
            <w:tcW w:w="9026" w:type="dxa"/>
            <w:tcBorders>
              <w:left w:val="single" w:sz="20" w:space="0" w:color="2E75B6"/>
              <w:bottom w:val="single" w:sz="4" w:space="0" w:color="2E75B6"/>
            </w:tcBorders>
            <w:shd w:val="clear" w:color="auto" w:fill="FFFFFF"/>
            <w:tcMar>
              <w:top w:w="80" w:type="dxa"/>
              <w:left w:w="200" w:type="dxa"/>
              <w:bottom w:w="100" w:type="dxa"/>
              <w:right w:w="200" w:type="dxa"/>
            </w:tcMar>
          </w:tcPr>
          <w:p w14:paraId="04E99F7A" w14:textId="77777777" w:rsidR="00AB3867" w:rsidRDefault="00E71070">
            <w:pPr>
              <w:spacing w:before="40" w:after="60"/>
              <w:jc w:val="both"/>
            </w:pPr>
            <w:r>
              <w:rPr>
                <w:sz w:val="21"/>
                <w:szCs w:val="21"/>
              </w:rPr>
              <w:t>C’est précisément parce que les données sont déjà transmises à des opérateurs étrangers, hors de tout contrôle étatique, qu’un cadre légal s’impose. La CNIL a alerté sur l’insuffisance des garanties actuelles portant sur la qualité des tests, la sécurité des échantillons et la transmission des données à des tiers.</w:t>
            </w:r>
          </w:p>
          <w:p w14:paraId="1197BF2D" w14:textId="77777777" w:rsidR="00AB3867" w:rsidRDefault="00E71070">
            <w:pPr>
              <w:spacing w:before="40" w:after="60"/>
              <w:jc w:val="both"/>
            </w:pPr>
            <w:r>
              <w:rPr>
                <w:sz w:val="21"/>
                <w:szCs w:val="21"/>
              </w:rPr>
              <w:t>Le</w:t>
            </w:r>
            <w:r w:rsidRPr="00DE519A">
              <w:rPr>
                <w:b/>
                <w:bCs/>
                <w:sz w:val="21"/>
                <w:szCs w:val="21"/>
              </w:rPr>
              <w:t xml:space="preserve"> cadre proposé</w:t>
            </w:r>
            <w:r>
              <w:rPr>
                <w:sz w:val="21"/>
                <w:szCs w:val="21"/>
              </w:rPr>
              <w:t xml:space="preserve"> permettrait d’imposer : un consentement exprès, éclairé et révocable ; une information en français claire et compréhensible ; une finalité stricte ; une durée de conservation limitée des échantillons ; l’interdiction de revente ou de transmission à des tiers ; des possibilités d’audit et de contrôle.</w:t>
            </w:r>
          </w:p>
        </w:tc>
      </w:tr>
    </w:tbl>
    <w:p w14:paraId="2B6A0880" w14:textId="77777777" w:rsidR="00AB3867" w:rsidRDefault="00AB3867">
      <w:pPr>
        <w:spacing w:after="16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0B9F5C18" w14:textId="77777777">
        <w:tc>
          <w:tcPr>
            <w:tcW w:w="9026" w:type="dxa"/>
            <w:tcBorders>
              <w:top w:val="single" w:sz="4" w:space="0" w:color="2E75B6"/>
              <w:left w:val="single" w:sz="20" w:space="0" w:color="2E75B6"/>
            </w:tcBorders>
            <w:shd w:val="clear" w:color="auto" w:fill="E8EFF7"/>
            <w:tcMar>
              <w:top w:w="100" w:type="dxa"/>
              <w:left w:w="200" w:type="dxa"/>
              <w:bottom w:w="60" w:type="dxa"/>
              <w:right w:w="200" w:type="dxa"/>
            </w:tcMar>
          </w:tcPr>
          <w:p w14:paraId="1DD4E69A" w14:textId="77777777" w:rsidR="00AB3867" w:rsidRDefault="00E71070">
            <w:r>
              <w:rPr>
                <w:b/>
                <w:bCs/>
                <w:color w:val="1F4E79"/>
                <w:sz w:val="21"/>
                <w:szCs w:val="21"/>
              </w:rPr>
              <w:t xml:space="preserve">Objection : </w:t>
            </w:r>
            <w:r>
              <w:rPr>
                <w:i/>
                <w:iCs/>
                <w:color w:val="444444"/>
                <w:sz w:val="21"/>
                <w:szCs w:val="21"/>
              </w:rPr>
              <w:t>« Les entreprises étrangères échapperont au droit européen »</w:t>
            </w:r>
          </w:p>
        </w:tc>
      </w:tr>
      <w:tr w:rsidR="00AB3867" w14:paraId="289228C2" w14:textId="77777777">
        <w:tc>
          <w:tcPr>
            <w:tcW w:w="9026" w:type="dxa"/>
            <w:tcBorders>
              <w:left w:val="single" w:sz="20" w:space="0" w:color="2E75B6"/>
              <w:bottom w:val="single" w:sz="4" w:space="0" w:color="2E75B6"/>
            </w:tcBorders>
            <w:shd w:val="clear" w:color="auto" w:fill="FFFFFF"/>
            <w:tcMar>
              <w:top w:w="80" w:type="dxa"/>
              <w:left w:w="200" w:type="dxa"/>
              <w:bottom w:w="100" w:type="dxa"/>
              <w:right w:w="200" w:type="dxa"/>
            </w:tcMar>
          </w:tcPr>
          <w:p w14:paraId="7B9CB665" w14:textId="77777777" w:rsidR="00AB3867" w:rsidRDefault="00E71070">
            <w:pPr>
              <w:spacing w:before="40" w:after="60"/>
              <w:jc w:val="both"/>
            </w:pPr>
            <w:r>
              <w:rPr>
                <w:sz w:val="21"/>
                <w:szCs w:val="21"/>
              </w:rPr>
              <w:t xml:space="preserve">Le </w:t>
            </w:r>
            <w:r w:rsidRPr="004F1D84">
              <w:rPr>
                <w:b/>
                <w:bCs/>
                <w:sz w:val="21"/>
                <w:szCs w:val="21"/>
              </w:rPr>
              <w:t>RGPD</w:t>
            </w:r>
            <w:r>
              <w:rPr>
                <w:sz w:val="21"/>
                <w:szCs w:val="21"/>
              </w:rPr>
              <w:t xml:space="preserve"> s’applique aux entreprises non établies dans l’Union européenne dès lors qu’elles </w:t>
            </w:r>
            <w:r w:rsidRPr="00A7124F">
              <w:rPr>
                <w:b/>
                <w:bCs/>
                <w:sz w:val="21"/>
                <w:szCs w:val="21"/>
              </w:rPr>
              <w:t xml:space="preserve">offrent des biens ou services </w:t>
            </w:r>
            <w:r>
              <w:rPr>
                <w:sz w:val="21"/>
                <w:szCs w:val="21"/>
              </w:rPr>
              <w:t>à des personnes situées dans l’Union (considérant 23 du RGPD ; lignes directrices 3/2018 du Comité européen de la protection des données). Un faisceau d’indices suffit : site en langue locale, prix en euros, livraison ou publicité ciblant la France.</w:t>
            </w:r>
          </w:p>
          <w:p w14:paraId="460E2AF1" w14:textId="0FCEF9BF" w:rsidR="00AB3867" w:rsidRDefault="00E71070">
            <w:pPr>
              <w:spacing w:before="40" w:after="60"/>
              <w:jc w:val="both"/>
            </w:pPr>
            <w:r>
              <w:rPr>
                <w:sz w:val="21"/>
                <w:szCs w:val="21"/>
              </w:rPr>
              <w:t xml:space="preserve">Or, la situation actuelle est paradoxale : </w:t>
            </w:r>
            <w:r w:rsidR="0013337B">
              <w:rPr>
                <w:sz w:val="21"/>
                <w:szCs w:val="21"/>
              </w:rPr>
              <w:t>l'interdiction de livrer les kits en France, les offres de</w:t>
            </w:r>
            <w:r>
              <w:rPr>
                <w:sz w:val="21"/>
                <w:szCs w:val="21"/>
              </w:rPr>
              <w:t xml:space="preserve"> services en anglais avec paiement en dollars, permett</w:t>
            </w:r>
            <w:r w:rsidR="0084555D">
              <w:rPr>
                <w:sz w:val="21"/>
                <w:szCs w:val="21"/>
              </w:rPr>
              <w:t xml:space="preserve">ent aux entreprises étrangères </w:t>
            </w:r>
            <w:r>
              <w:rPr>
                <w:sz w:val="21"/>
                <w:szCs w:val="21"/>
              </w:rPr>
              <w:t>d’échapper au RGPD. L’ouverture légale du marché français rendrait au contraire le RGPD pleinement applicable et contrôlable.</w:t>
            </w:r>
          </w:p>
        </w:tc>
      </w:tr>
    </w:tbl>
    <w:p w14:paraId="0A325FB7" w14:textId="77777777" w:rsidR="00AB3867" w:rsidRDefault="00AB3867">
      <w:pPr>
        <w:spacing w:after="16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7F1CED89" w14:textId="77777777">
        <w:tc>
          <w:tcPr>
            <w:tcW w:w="9026" w:type="dxa"/>
            <w:tcBorders>
              <w:top w:val="single" w:sz="4" w:space="0" w:color="2E75B6"/>
              <w:left w:val="single" w:sz="20" w:space="0" w:color="2E75B6"/>
            </w:tcBorders>
            <w:shd w:val="clear" w:color="auto" w:fill="E8EFF7"/>
            <w:tcMar>
              <w:top w:w="100" w:type="dxa"/>
              <w:left w:w="200" w:type="dxa"/>
              <w:bottom w:w="60" w:type="dxa"/>
              <w:right w:w="200" w:type="dxa"/>
            </w:tcMar>
          </w:tcPr>
          <w:p w14:paraId="498E9CA9" w14:textId="77777777" w:rsidR="00AB3867" w:rsidRDefault="00E71070">
            <w:r>
              <w:rPr>
                <w:b/>
                <w:bCs/>
                <w:color w:val="1F4E79"/>
                <w:sz w:val="21"/>
                <w:szCs w:val="21"/>
              </w:rPr>
              <w:t xml:space="preserve">Objection : </w:t>
            </w:r>
            <w:r>
              <w:rPr>
                <w:i/>
                <w:iCs/>
                <w:color w:val="444444"/>
                <w:sz w:val="21"/>
                <w:szCs w:val="21"/>
              </w:rPr>
              <w:t>« Les tests pourraient remettre en cause la filiation ou les successions »</w:t>
            </w:r>
          </w:p>
        </w:tc>
      </w:tr>
      <w:tr w:rsidR="00AB3867" w14:paraId="6C2A816D" w14:textId="77777777">
        <w:tc>
          <w:tcPr>
            <w:tcW w:w="9026" w:type="dxa"/>
            <w:tcBorders>
              <w:left w:val="single" w:sz="20" w:space="0" w:color="2E75B6"/>
              <w:bottom w:val="single" w:sz="4" w:space="0" w:color="2E75B6"/>
            </w:tcBorders>
            <w:shd w:val="clear" w:color="auto" w:fill="FFFFFF"/>
            <w:tcMar>
              <w:top w:w="80" w:type="dxa"/>
              <w:left w:w="200" w:type="dxa"/>
              <w:bottom w:w="100" w:type="dxa"/>
              <w:right w:w="200" w:type="dxa"/>
            </w:tcMar>
          </w:tcPr>
          <w:p w14:paraId="13D1A16D" w14:textId="77777777" w:rsidR="00AB3867" w:rsidRDefault="00E71070">
            <w:pPr>
              <w:spacing w:before="40" w:after="60"/>
              <w:jc w:val="both"/>
            </w:pPr>
            <w:r>
              <w:rPr>
                <w:sz w:val="21"/>
                <w:szCs w:val="21"/>
              </w:rPr>
              <w:t>La proposition de loi pose explicitement le principe de l’</w:t>
            </w:r>
            <w:r w:rsidRPr="00010BBD">
              <w:rPr>
                <w:b/>
                <w:bCs/>
                <w:sz w:val="21"/>
                <w:szCs w:val="21"/>
              </w:rPr>
              <w:t xml:space="preserve">absence totale d’effet juridique : </w:t>
            </w:r>
            <w:r>
              <w:rPr>
                <w:sz w:val="21"/>
                <w:szCs w:val="21"/>
              </w:rPr>
              <w:t>un test ADN d’origines ne peut en aucun cas être invoqué pour établir ou contester une filiation, ouvrir des droits successoraux, engager une responsabilité civile ou remettre en cause un état civil. L’ordre juridique de la filiation n’est pas affecté.</w:t>
            </w:r>
          </w:p>
        </w:tc>
      </w:tr>
    </w:tbl>
    <w:p w14:paraId="35B42098" w14:textId="77777777" w:rsidR="00AB3867" w:rsidRDefault="00AB3867">
      <w:pPr>
        <w:spacing w:after="16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44EE4566" w14:textId="77777777">
        <w:tc>
          <w:tcPr>
            <w:tcW w:w="9026" w:type="dxa"/>
            <w:tcBorders>
              <w:top w:val="single" w:sz="4" w:space="0" w:color="2E75B6"/>
              <w:left w:val="single" w:sz="20" w:space="0" w:color="2E75B6"/>
            </w:tcBorders>
            <w:shd w:val="clear" w:color="auto" w:fill="E8EFF7"/>
            <w:tcMar>
              <w:top w:w="100" w:type="dxa"/>
              <w:left w:w="200" w:type="dxa"/>
              <w:bottom w:w="60" w:type="dxa"/>
              <w:right w:w="200" w:type="dxa"/>
            </w:tcMar>
          </w:tcPr>
          <w:p w14:paraId="5A533392" w14:textId="77777777" w:rsidR="00AB3867" w:rsidRDefault="00E71070">
            <w:r>
              <w:rPr>
                <w:b/>
                <w:bCs/>
                <w:color w:val="1F4E79"/>
                <w:sz w:val="21"/>
                <w:szCs w:val="21"/>
              </w:rPr>
              <w:t xml:space="preserve">Objection : </w:t>
            </w:r>
            <w:r>
              <w:rPr>
                <w:i/>
                <w:iCs/>
                <w:color w:val="444444"/>
                <w:sz w:val="21"/>
                <w:szCs w:val="21"/>
              </w:rPr>
              <w:t>« Ces tests fourniront des informations médicales »</w:t>
            </w:r>
          </w:p>
        </w:tc>
      </w:tr>
      <w:tr w:rsidR="00AB3867" w14:paraId="2655D466" w14:textId="77777777">
        <w:tc>
          <w:tcPr>
            <w:tcW w:w="9026" w:type="dxa"/>
            <w:tcBorders>
              <w:left w:val="single" w:sz="20" w:space="0" w:color="2E75B6"/>
              <w:bottom w:val="single" w:sz="4" w:space="0" w:color="2E75B6"/>
            </w:tcBorders>
            <w:shd w:val="clear" w:color="auto" w:fill="FFFFFF"/>
            <w:tcMar>
              <w:top w:w="80" w:type="dxa"/>
              <w:left w:w="200" w:type="dxa"/>
              <w:bottom w:w="100" w:type="dxa"/>
              <w:right w:w="200" w:type="dxa"/>
            </w:tcMar>
          </w:tcPr>
          <w:p w14:paraId="03E94056" w14:textId="515A2277" w:rsidR="00AB3867" w:rsidRDefault="00E71070">
            <w:pPr>
              <w:spacing w:before="40" w:after="60"/>
              <w:jc w:val="both"/>
            </w:pPr>
            <w:r>
              <w:rPr>
                <w:sz w:val="21"/>
                <w:szCs w:val="21"/>
              </w:rPr>
              <w:t xml:space="preserve">La proposition de loi </w:t>
            </w:r>
            <w:r w:rsidRPr="00807F68">
              <w:rPr>
                <w:b/>
                <w:bCs/>
                <w:sz w:val="21"/>
                <w:szCs w:val="21"/>
              </w:rPr>
              <w:t>exclut expressément</w:t>
            </w:r>
            <w:r>
              <w:rPr>
                <w:sz w:val="21"/>
                <w:szCs w:val="21"/>
              </w:rPr>
              <w:t xml:space="preserve"> les tests de prédisposition</w:t>
            </w:r>
            <w:r w:rsidR="006D5B4C">
              <w:rPr>
                <w:sz w:val="21"/>
                <w:szCs w:val="21"/>
              </w:rPr>
              <w:t xml:space="preserve"> </w:t>
            </w:r>
            <w:r>
              <w:rPr>
                <w:sz w:val="21"/>
                <w:szCs w:val="21"/>
              </w:rPr>
              <w:t xml:space="preserve">médicale. La dépénalisation est strictement limitée aux finalités généalogiques et personnelles. Les tests à visée médicale demeurent réservés au cadre </w:t>
            </w:r>
            <w:r w:rsidR="00BC3F3A">
              <w:rPr>
                <w:sz w:val="21"/>
                <w:szCs w:val="21"/>
              </w:rPr>
              <w:t>médical .</w:t>
            </w:r>
          </w:p>
        </w:tc>
      </w:tr>
    </w:tbl>
    <w:p w14:paraId="45C20686" w14:textId="77777777" w:rsidR="00AB3867" w:rsidRDefault="00AB3867">
      <w:pPr>
        <w:spacing w:after="16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590476E8" w14:textId="77777777">
        <w:tc>
          <w:tcPr>
            <w:tcW w:w="9026" w:type="dxa"/>
            <w:tcBorders>
              <w:top w:val="single" w:sz="4" w:space="0" w:color="2E75B6"/>
              <w:left w:val="single" w:sz="20" w:space="0" w:color="2E75B6"/>
            </w:tcBorders>
            <w:shd w:val="clear" w:color="auto" w:fill="E8EFF7"/>
            <w:tcMar>
              <w:top w:w="100" w:type="dxa"/>
              <w:left w:w="200" w:type="dxa"/>
              <w:bottom w:w="60" w:type="dxa"/>
              <w:right w:w="200" w:type="dxa"/>
            </w:tcMar>
          </w:tcPr>
          <w:p w14:paraId="3F8128BB" w14:textId="77777777" w:rsidR="00AB3867" w:rsidRDefault="00E71070">
            <w:r>
              <w:rPr>
                <w:b/>
                <w:bCs/>
                <w:color w:val="1F4E79"/>
                <w:sz w:val="21"/>
                <w:szCs w:val="21"/>
              </w:rPr>
              <w:t xml:space="preserve">Objection : </w:t>
            </w:r>
            <w:r>
              <w:rPr>
                <w:i/>
                <w:iCs/>
                <w:color w:val="444444"/>
                <w:sz w:val="21"/>
                <w:szCs w:val="21"/>
              </w:rPr>
              <w:t>« Les personnes seront seules face à des révélations difficiles »</w:t>
            </w:r>
          </w:p>
        </w:tc>
      </w:tr>
      <w:tr w:rsidR="00AB3867" w14:paraId="6EBF3B6C" w14:textId="77777777">
        <w:tc>
          <w:tcPr>
            <w:tcW w:w="9026" w:type="dxa"/>
            <w:tcBorders>
              <w:left w:val="single" w:sz="20" w:space="0" w:color="2E75B6"/>
              <w:bottom w:val="single" w:sz="4" w:space="0" w:color="2E75B6"/>
            </w:tcBorders>
            <w:shd w:val="clear" w:color="auto" w:fill="FFFFFF"/>
            <w:tcMar>
              <w:top w:w="80" w:type="dxa"/>
              <w:left w:w="200" w:type="dxa"/>
              <w:bottom w:w="100" w:type="dxa"/>
              <w:right w:w="200" w:type="dxa"/>
            </w:tcMar>
          </w:tcPr>
          <w:p w14:paraId="1B528E7B" w14:textId="77777777" w:rsidR="00AB3867" w:rsidRDefault="00E71070">
            <w:pPr>
              <w:spacing w:before="40" w:after="60"/>
              <w:jc w:val="both"/>
            </w:pPr>
            <w:r>
              <w:rPr>
                <w:sz w:val="21"/>
                <w:szCs w:val="21"/>
              </w:rPr>
              <w:t>C’est précisément la situation actuelle : l’interdiction laisse les personnes sans médiation ni accompagnement. Un rapport de l’IGAS de 2024 a alerté sur les « risques dévastateurs au plan psychologique » des prises de contact non accompagnées.</w:t>
            </w:r>
          </w:p>
          <w:p w14:paraId="4930C340" w14:textId="17F90F02" w:rsidR="00AB3867" w:rsidRDefault="007042AE">
            <w:pPr>
              <w:spacing w:before="40" w:after="60"/>
              <w:jc w:val="both"/>
            </w:pPr>
            <w:r>
              <w:rPr>
                <w:sz w:val="21"/>
                <w:szCs w:val="21"/>
              </w:rPr>
              <w:t>Il est proposé à terme l</w:t>
            </w:r>
            <w:r w:rsidR="00E71070">
              <w:rPr>
                <w:sz w:val="21"/>
                <w:szCs w:val="21"/>
              </w:rPr>
              <w:t>a création d’un</w:t>
            </w:r>
            <w:r w:rsidR="00E71070" w:rsidRPr="00FB4F1C">
              <w:rPr>
                <w:b/>
                <w:bCs/>
                <w:sz w:val="21"/>
                <w:szCs w:val="21"/>
              </w:rPr>
              <w:t xml:space="preserve"> centre d’accompagnement</w:t>
            </w:r>
            <w:r w:rsidR="00E71070">
              <w:rPr>
                <w:sz w:val="21"/>
                <w:szCs w:val="21"/>
              </w:rPr>
              <w:t xml:space="preserve"> pluridisciplinaire, accessible librement, réunissant généalogistes, juristes, psychologues, médiateurs et associations. Ce modèle s’inspire de dispositifs existants en Europe.</w:t>
            </w:r>
          </w:p>
        </w:tc>
      </w:tr>
    </w:tbl>
    <w:p w14:paraId="3957A1E2" w14:textId="77777777" w:rsidR="00AB3867" w:rsidRDefault="00AB3867">
      <w:pPr>
        <w:spacing w:after="160"/>
      </w:pPr>
    </w:p>
    <w:tbl>
      <w:tblPr>
        <w:tblW w:w="9026"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41D289A7" w14:textId="77777777">
        <w:tc>
          <w:tcPr>
            <w:tcW w:w="9026" w:type="dxa"/>
            <w:tcBorders>
              <w:top w:val="single" w:sz="4" w:space="0" w:color="2E75B6"/>
              <w:left w:val="single" w:sz="20" w:space="0" w:color="2E75B6"/>
            </w:tcBorders>
            <w:shd w:val="clear" w:color="auto" w:fill="E8EFF7"/>
            <w:tcMar>
              <w:top w:w="100" w:type="dxa"/>
              <w:left w:w="200" w:type="dxa"/>
              <w:bottom w:w="60" w:type="dxa"/>
              <w:right w:w="200" w:type="dxa"/>
            </w:tcMar>
          </w:tcPr>
          <w:p w14:paraId="71EA3A7C" w14:textId="77777777" w:rsidR="00AB3867" w:rsidRDefault="00E71070">
            <w:r>
              <w:rPr>
                <w:b/>
                <w:bCs/>
                <w:color w:val="1F4E79"/>
                <w:sz w:val="21"/>
                <w:szCs w:val="21"/>
              </w:rPr>
              <w:t xml:space="preserve">Objection : </w:t>
            </w:r>
            <w:r>
              <w:rPr>
                <w:i/>
                <w:iCs/>
                <w:color w:val="444444"/>
                <w:sz w:val="21"/>
                <w:szCs w:val="21"/>
              </w:rPr>
              <w:t>« La fiabilité des tests n’est pas garantie »</w:t>
            </w:r>
          </w:p>
        </w:tc>
      </w:tr>
      <w:tr w:rsidR="00AB3867" w14:paraId="6BCEBB4F" w14:textId="77777777">
        <w:tc>
          <w:tcPr>
            <w:tcW w:w="9026" w:type="dxa"/>
            <w:tcBorders>
              <w:left w:val="single" w:sz="20" w:space="0" w:color="2E75B6"/>
              <w:bottom w:val="single" w:sz="4" w:space="0" w:color="2E75B6"/>
            </w:tcBorders>
            <w:shd w:val="clear" w:color="auto" w:fill="FFFFFF"/>
            <w:tcMar>
              <w:top w:w="80" w:type="dxa"/>
              <w:left w:w="200" w:type="dxa"/>
              <w:bottom w:w="100" w:type="dxa"/>
              <w:right w:w="200" w:type="dxa"/>
            </w:tcMar>
          </w:tcPr>
          <w:p w14:paraId="44F7A701" w14:textId="3F7D9200" w:rsidR="00AB3867" w:rsidRDefault="00E71070">
            <w:pPr>
              <w:spacing w:before="40" w:after="60"/>
              <w:jc w:val="both"/>
            </w:pPr>
            <w:r>
              <w:rPr>
                <w:sz w:val="21"/>
                <w:szCs w:val="21"/>
              </w:rPr>
              <w:t xml:space="preserve">La proposition de loi prévoit la création d’un </w:t>
            </w:r>
            <w:r w:rsidRPr="00602E6A">
              <w:rPr>
                <w:b/>
                <w:bCs/>
                <w:sz w:val="21"/>
                <w:szCs w:val="21"/>
              </w:rPr>
              <w:t>label public de confiance</w:t>
            </w:r>
            <w:r>
              <w:rPr>
                <w:sz w:val="21"/>
                <w:szCs w:val="21"/>
              </w:rPr>
              <w:t xml:space="preserve">, permettant aux citoyens d’identifier les opérateurs respectant le RGPD, garantissant la qualité des analyses génomiques et s’engageant à ne pas réutiliser les données sans consentement nouveau. La légalisation </w:t>
            </w:r>
            <w:r w:rsidR="00FB4F1C">
              <w:rPr>
                <w:sz w:val="21"/>
                <w:szCs w:val="21"/>
              </w:rPr>
              <w:t>crée</w:t>
            </w:r>
            <w:r>
              <w:rPr>
                <w:sz w:val="21"/>
                <w:szCs w:val="21"/>
              </w:rPr>
              <w:t xml:space="preserve"> les conditions du contrôle, là où l’interdiction l’empêche.</w:t>
            </w:r>
          </w:p>
        </w:tc>
      </w:tr>
    </w:tbl>
    <w:p w14:paraId="74F4BFC1" w14:textId="77777777" w:rsidR="00AB3867" w:rsidRDefault="00AB3867">
      <w:pPr>
        <w:spacing w:after="200"/>
      </w:pPr>
    </w:p>
    <w:p w14:paraId="6C6D4B44" w14:textId="77777777" w:rsidR="00AB3867" w:rsidRDefault="00E71070">
      <w:pPr>
        <w:pStyle w:val="Titre1"/>
      </w:pPr>
      <w:r>
        <w:t>V. Le dispositif proposé : six piliers</w:t>
      </w:r>
    </w:p>
    <w:p w14:paraId="37ED6F28" w14:textId="77777777" w:rsidR="00AB3867" w:rsidRDefault="00E71070">
      <w:pPr>
        <w:pStyle w:val="Paragraphedeliste"/>
        <w:numPr>
          <w:ilvl w:val="0"/>
          <w:numId w:val="3"/>
        </w:numPr>
        <w:spacing w:before="100" w:after="60"/>
      </w:pPr>
      <w:r>
        <w:rPr>
          <w:b/>
          <w:bCs/>
        </w:rPr>
        <w:t>Dépénalisation ciblée</w:t>
      </w:r>
    </w:p>
    <w:p w14:paraId="2ACE2A53" w14:textId="77777777" w:rsidR="00AB3867" w:rsidRDefault="00E71070">
      <w:pPr>
        <w:spacing w:before="80" w:after="100" w:line="276" w:lineRule="auto"/>
        <w:ind w:left="720"/>
        <w:jc w:val="both"/>
      </w:pPr>
      <w:r>
        <w:t>Autoriser les tests ADN réalisés exclusivement à des fins personnelles et généalogiques, dans le strict cadre défini par la loi.</w:t>
      </w:r>
    </w:p>
    <w:p w14:paraId="423A6EFF" w14:textId="77777777" w:rsidR="00AB3867" w:rsidRDefault="00E71070">
      <w:pPr>
        <w:pStyle w:val="Paragraphedeliste"/>
        <w:numPr>
          <w:ilvl w:val="0"/>
          <w:numId w:val="3"/>
        </w:numPr>
        <w:spacing w:before="100" w:after="60"/>
      </w:pPr>
      <w:r>
        <w:rPr>
          <w:b/>
          <w:bCs/>
        </w:rPr>
        <w:t>Maintien de l’interdiction des tests médicaux en libre accès</w:t>
      </w:r>
    </w:p>
    <w:p w14:paraId="56C0F2FE" w14:textId="77777777" w:rsidR="00AB3867" w:rsidRDefault="00E71070">
      <w:pPr>
        <w:spacing w:before="80" w:after="100" w:line="276" w:lineRule="auto"/>
        <w:ind w:left="720"/>
        <w:jc w:val="both"/>
      </w:pPr>
      <w:r>
        <w:t>Les tests de prédisposition ou de risque pathologique demeurent réservés au cadre médical.</w:t>
      </w:r>
    </w:p>
    <w:p w14:paraId="4336E99E" w14:textId="77777777" w:rsidR="00AB3867" w:rsidRDefault="00E71070">
      <w:pPr>
        <w:pStyle w:val="Paragraphedeliste"/>
        <w:numPr>
          <w:ilvl w:val="0"/>
          <w:numId w:val="3"/>
        </w:numPr>
        <w:spacing w:before="100" w:after="60"/>
      </w:pPr>
      <w:r>
        <w:rPr>
          <w:b/>
          <w:bCs/>
        </w:rPr>
        <w:t>Neutralité juridique absolue</w:t>
      </w:r>
    </w:p>
    <w:p w14:paraId="2CAD2918" w14:textId="14975F6F" w:rsidR="00AB3867" w:rsidRDefault="00E71070">
      <w:pPr>
        <w:spacing w:before="80" w:after="100" w:line="276" w:lineRule="auto"/>
        <w:ind w:left="720"/>
        <w:jc w:val="both"/>
      </w:pPr>
      <w:r>
        <w:t xml:space="preserve">Aucun effet sur la filiation, les successions, la responsabilité civile ou l’état civil. Ce principe est inscrit explicitement dans la </w:t>
      </w:r>
      <w:proofErr w:type="spellStart"/>
      <w:r w:rsidR="00DB46A2">
        <w:t>Ppl</w:t>
      </w:r>
      <w:proofErr w:type="spellEnd"/>
      <w:r w:rsidR="00DB46A2">
        <w:t>.</w:t>
      </w:r>
    </w:p>
    <w:p w14:paraId="0A0E3744" w14:textId="77777777" w:rsidR="00AB3867" w:rsidRDefault="00E71070">
      <w:pPr>
        <w:pStyle w:val="Paragraphedeliste"/>
        <w:numPr>
          <w:ilvl w:val="0"/>
          <w:numId w:val="3"/>
        </w:numPr>
        <w:spacing w:before="100" w:after="60"/>
      </w:pPr>
      <w:r>
        <w:rPr>
          <w:b/>
          <w:bCs/>
        </w:rPr>
        <w:t>Protection renforcée des données</w:t>
      </w:r>
    </w:p>
    <w:p w14:paraId="5E6AF25C" w14:textId="6DF90F42" w:rsidR="00AB3867" w:rsidRDefault="00E71070">
      <w:pPr>
        <w:spacing w:before="80" w:after="100" w:line="276" w:lineRule="auto"/>
        <w:ind w:left="720"/>
        <w:jc w:val="both"/>
      </w:pPr>
      <w:r>
        <w:t>Application effective du RGPD : consentement exprès et révocable, finalité stricte, durée de conservation limitée, interdiction de revente ou de transmission à un assureur, un employeur ou tout tiers.</w:t>
      </w:r>
    </w:p>
    <w:p w14:paraId="47E09846" w14:textId="77777777" w:rsidR="00AB3867" w:rsidRDefault="00E71070">
      <w:pPr>
        <w:pStyle w:val="Paragraphedeliste"/>
        <w:numPr>
          <w:ilvl w:val="0"/>
          <w:numId w:val="3"/>
        </w:numPr>
        <w:spacing w:before="100" w:after="60"/>
      </w:pPr>
      <w:r>
        <w:rPr>
          <w:b/>
          <w:bCs/>
        </w:rPr>
        <w:t>Label public de confiance</w:t>
      </w:r>
    </w:p>
    <w:p w14:paraId="0E3EA201" w14:textId="3E50034B" w:rsidR="00AB3867" w:rsidRDefault="00DB46A2">
      <w:pPr>
        <w:spacing w:before="80" w:after="100" w:line="276" w:lineRule="auto"/>
        <w:ind w:left="720"/>
        <w:jc w:val="both"/>
      </w:pPr>
      <w:r>
        <w:t xml:space="preserve">Sorte de </w:t>
      </w:r>
      <w:proofErr w:type="spellStart"/>
      <w:r>
        <w:t>nutri</w:t>
      </w:r>
      <w:proofErr w:type="spellEnd"/>
      <w:r>
        <w:t xml:space="preserve">-score </w:t>
      </w:r>
      <w:r w:rsidR="00E71070">
        <w:t xml:space="preserve">des opérateurs respectant la sécurité, la qualité des analyses, l’éthique et la protection des données. Ce label </w:t>
      </w:r>
      <w:r w:rsidR="006E21DD">
        <w:t>permettra</w:t>
      </w:r>
      <w:r w:rsidR="00E71070">
        <w:t xml:space="preserve"> aux citoyens de se tourner vers des prestataires</w:t>
      </w:r>
      <w:r w:rsidR="006E21DD">
        <w:t xml:space="preserve"> fiables.</w:t>
      </w:r>
    </w:p>
    <w:p w14:paraId="13D9BB69" w14:textId="77777777" w:rsidR="00AB3867" w:rsidRDefault="00E71070">
      <w:pPr>
        <w:pStyle w:val="Paragraphedeliste"/>
        <w:numPr>
          <w:ilvl w:val="0"/>
          <w:numId w:val="3"/>
        </w:numPr>
        <w:spacing w:before="100" w:after="60"/>
      </w:pPr>
      <w:r>
        <w:rPr>
          <w:b/>
          <w:bCs/>
        </w:rPr>
        <w:t>Centre d’accompagnement pluridisciplinaire</w:t>
      </w:r>
    </w:p>
    <w:p w14:paraId="22F763B8" w14:textId="77777777" w:rsidR="00AB3867" w:rsidRDefault="00E71070">
      <w:pPr>
        <w:spacing w:before="80" w:after="100" w:line="276" w:lineRule="auto"/>
        <w:ind w:left="720"/>
        <w:jc w:val="both"/>
      </w:pPr>
      <w:r>
        <w:t>Structure accessible librement, sans passage obligatoire, réunissant généalogistes, juristes, psychologues, médiateurs, généticiens et associations, pour aider à l’interprétation des résultats, prévenir les contacts brutaux et accompagner les situations sensibles.</w:t>
      </w:r>
    </w:p>
    <w:p w14:paraId="07B942A5" w14:textId="77777777" w:rsidR="00AB3867" w:rsidRDefault="00AB3867">
      <w:pPr>
        <w:spacing w:after="200"/>
      </w:pPr>
    </w:p>
    <w:p w14:paraId="693E5B47" w14:textId="77777777" w:rsidR="00AB3867" w:rsidRDefault="00E71070">
      <w:pPr>
        <w:pStyle w:val="Titre1"/>
      </w:pPr>
      <w:r>
        <w:t>VI. Références européennes</w:t>
      </w:r>
    </w:p>
    <w:p w14:paraId="18409A7F" w14:textId="77777777" w:rsidR="00AB3867" w:rsidRDefault="00E71070">
      <w:pPr>
        <w:spacing w:before="80" w:after="100" w:line="276" w:lineRule="auto"/>
        <w:jc w:val="both"/>
      </w:pPr>
      <w:r>
        <w:t>Plusieurs pays européens ont déjà mis en place des dispositifs dont la France peut s’inspirer.</w:t>
      </w:r>
    </w:p>
    <w:p w14:paraId="0173BC9A" w14:textId="77777777" w:rsidR="00AB3867" w:rsidRDefault="00AB3867">
      <w:pPr>
        <w:spacing w:after="80"/>
      </w:pPr>
    </w:p>
    <w:tbl>
      <w:tblPr>
        <w:tblW w:w="935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55"/>
      </w:tblGrid>
      <w:tr w:rsidR="00AB3867" w14:paraId="4517FBAF" w14:textId="77777777">
        <w:tc>
          <w:tcPr>
            <w:tcW w:w="1800" w:type="dxa"/>
            <w:shd w:val="clear" w:color="auto" w:fill="1F4E79"/>
            <w:tcMar>
              <w:top w:w="80" w:type="dxa"/>
              <w:left w:w="120" w:type="dxa"/>
              <w:bottom w:w="80" w:type="dxa"/>
              <w:right w:w="120" w:type="dxa"/>
            </w:tcMar>
          </w:tcPr>
          <w:p w14:paraId="501717D7" w14:textId="77777777" w:rsidR="00AB3867" w:rsidRDefault="00E71070">
            <w:r>
              <w:rPr>
                <w:b/>
                <w:bCs/>
                <w:color w:val="FFFFFF"/>
                <w:sz w:val="21"/>
                <w:szCs w:val="21"/>
              </w:rPr>
              <w:t>Pays</w:t>
            </w:r>
          </w:p>
        </w:tc>
        <w:tc>
          <w:tcPr>
            <w:tcW w:w="7555" w:type="dxa"/>
            <w:shd w:val="clear" w:color="auto" w:fill="1F4E79"/>
            <w:tcMar>
              <w:top w:w="80" w:type="dxa"/>
              <w:left w:w="120" w:type="dxa"/>
              <w:bottom w:w="80" w:type="dxa"/>
              <w:right w:w="120" w:type="dxa"/>
            </w:tcMar>
          </w:tcPr>
          <w:p w14:paraId="20FA8048" w14:textId="77777777" w:rsidR="00AB3867" w:rsidRDefault="00E71070">
            <w:r>
              <w:rPr>
                <w:b/>
                <w:bCs/>
                <w:color w:val="FFFFFF"/>
                <w:sz w:val="21"/>
                <w:szCs w:val="21"/>
              </w:rPr>
              <w:t>Dispositif</w:t>
            </w:r>
          </w:p>
        </w:tc>
      </w:tr>
      <w:tr w:rsidR="00AB3867" w14:paraId="3C919A7E" w14:textId="77777777">
        <w:tc>
          <w:tcPr>
            <w:tcW w:w="1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441F44E3" w14:textId="77777777" w:rsidR="00AB3867" w:rsidRDefault="00E71070">
            <w:r>
              <w:rPr>
                <w:b/>
                <w:bCs/>
                <w:sz w:val="20"/>
                <w:szCs w:val="20"/>
              </w:rPr>
              <w:t>Belgique (Flandre)</w:t>
            </w:r>
          </w:p>
        </w:tc>
        <w:tc>
          <w:tcPr>
            <w:tcW w:w="7555" w:type="dxa"/>
            <w:tcBorders>
              <w:top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7EA289E9" w14:textId="77777777" w:rsidR="00AB3867" w:rsidRDefault="00E71070">
            <w:pPr>
              <w:jc w:val="both"/>
            </w:pPr>
            <w:proofErr w:type="spellStart"/>
            <w:r>
              <w:rPr>
                <w:sz w:val="20"/>
                <w:szCs w:val="20"/>
              </w:rPr>
              <w:t>Afstammingscentrum</w:t>
            </w:r>
            <w:proofErr w:type="spellEnd"/>
            <w:r>
              <w:rPr>
                <w:sz w:val="20"/>
                <w:szCs w:val="20"/>
              </w:rPr>
              <w:t> : centre cofinancé par l’État (200 000 €/an), créé par décret du 26 avril 2019. Missions : information, accompagnement psychosocial, développement de l’expertise sur les questions de filiation.</w:t>
            </w:r>
          </w:p>
        </w:tc>
      </w:tr>
      <w:tr w:rsidR="00AB3867" w14:paraId="464CE90D" w14:textId="77777777">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8E0AE5D" w14:textId="77777777" w:rsidR="00AB3867" w:rsidRDefault="00E71070">
            <w:r>
              <w:rPr>
                <w:b/>
                <w:bCs/>
                <w:sz w:val="20"/>
                <w:szCs w:val="20"/>
              </w:rPr>
              <w:t>Pays-Bas</w:t>
            </w:r>
          </w:p>
        </w:tc>
        <w:tc>
          <w:tcPr>
            <w:tcW w:w="7555" w:type="dxa"/>
            <w:tcBorders>
              <w:top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E8DF06B" w14:textId="77777777" w:rsidR="00AB3867" w:rsidRDefault="00E71070">
            <w:pPr>
              <w:jc w:val="both"/>
            </w:pPr>
            <w:r>
              <w:rPr>
                <w:sz w:val="20"/>
                <w:szCs w:val="20"/>
              </w:rPr>
              <w:t>INEA (</w:t>
            </w:r>
            <w:proofErr w:type="spellStart"/>
            <w:r>
              <w:rPr>
                <w:sz w:val="20"/>
                <w:szCs w:val="20"/>
              </w:rPr>
              <w:t>Identiteit</w:t>
            </w:r>
            <w:proofErr w:type="spellEnd"/>
            <w:r>
              <w:rPr>
                <w:sz w:val="20"/>
                <w:szCs w:val="20"/>
              </w:rPr>
              <w:t xml:space="preserve">, </w:t>
            </w:r>
            <w:proofErr w:type="spellStart"/>
            <w:r>
              <w:rPr>
                <w:sz w:val="20"/>
                <w:szCs w:val="20"/>
              </w:rPr>
              <w:t>Nazorg</w:t>
            </w:r>
            <w:proofErr w:type="spellEnd"/>
            <w:r>
              <w:rPr>
                <w:sz w:val="20"/>
                <w:szCs w:val="20"/>
              </w:rPr>
              <w:t xml:space="preserve">, </w:t>
            </w:r>
            <w:proofErr w:type="spellStart"/>
            <w:r>
              <w:rPr>
                <w:sz w:val="20"/>
                <w:szCs w:val="20"/>
              </w:rPr>
              <w:t>Erkenning</w:t>
            </w:r>
            <w:proofErr w:type="spellEnd"/>
            <w:r>
              <w:rPr>
                <w:sz w:val="20"/>
                <w:szCs w:val="20"/>
              </w:rPr>
              <w:t xml:space="preserve"> en </w:t>
            </w:r>
            <w:proofErr w:type="spellStart"/>
            <w:r>
              <w:rPr>
                <w:sz w:val="20"/>
                <w:szCs w:val="20"/>
              </w:rPr>
              <w:t>Adoptievraagstukken</w:t>
            </w:r>
            <w:proofErr w:type="spellEnd"/>
            <w:r>
              <w:rPr>
                <w:sz w:val="20"/>
                <w:szCs w:val="20"/>
              </w:rPr>
              <w:t>), opérationnel depuis mars 2023. Centre national indépendant, 15 agents, financement public de 36 millions d’euros sur dix ans. Missions : accès aux dossiers, recherche des parents biologiques, accompagnement psychosocial et juridique.</w:t>
            </w:r>
          </w:p>
        </w:tc>
      </w:tr>
      <w:tr w:rsidR="00AB3867" w14:paraId="3690986B" w14:textId="77777777">
        <w:tc>
          <w:tcPr>
            <w:tcW w:w="1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0F9569B3" w14:textId="77777777" w:rsidR="00AB3867" w:rsidRDefault="00E71070">
            <w:r>
              <w:rPr>
                <w:b/>
                <w:bCs/>
                <w:sz w:val="20"/>
                <w:szCs w:val="20"/>
              </w:rPr>
              <w:t>Royaume-Uni</w:t>
            </w:r>
          </w:p>
        </w:tc>
        <w:tc>
          <w:tcPr>
            <w:tcW w:w="7555" w:type="dxa"/>
            <w:tcBorders>
              <w:top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7204A090" w14:textId="15B28261" w:rsidR="00AB3867" w:rsidRDefault="00E71070">
            <w:pPr>
              <w:jc w:val="both"/>
            </w:pPr>
            <w:r>
              <w:rPr>
                <w:sz w:val="20"/>
                <w:szCs w:val="20"/>
              </w:rPr>
              <w:t>La HFEA propose, via une structure partenaire, des tests ADN au profit des personnes conçues par don avant le 1</w:t>
            </w:r>
            <w:r w:rsidRPr="00FB4B56">
              <w:rPr>
                <w:sz w:val="20"/>
                <w:szCs w:val="20"/>
                <w:vertAlign w:val="superscript"/>
              </w:rPr>
              <w:t>er</w:t>
            </w:r>
            <w:r>
              <w:rPr>
                <w:sz w:val="20"/>
                <w:szCs w:val="20"/>
              </w:rPr>
              <w:t xml:space="preserve"> août 1991, période antérieure à tout encadrement.</w:t>
            </w:r>
          </w:p>
        </w:tc>
      </w:tr>
    </w:tbl>
    <w:p w14:paraId="64340E1F" w14:textId="77777777" w:rsidR="00AB3867" w:rsidRDefault="00AB3867">
      <w:pPr>
        <w:spacing w:after="200"/>
      </w:pPr>
    </w:p>
    <w:p w14:paraId="3C0E9F84" w14:textId="77777777" w:rsidR="00AB3867" w:rsidRDefault="00E71070">
      <w:pPr>
        <w:pStyle w:val="Titre1"/>
      </w:pPr>
      <w:r>
        <w:t>VII. Écueils à éviter</w:t>
      </w:r>
    </w:p>
    <w:p w14:paraId="180A6625" w14:textId="77777777" w:rsidR="00AB3867" w:rsidRDefault="00E71070">
      <w:pPr>
        <w:pStyle w:val="Titre2"/>
      </w:pPr>
      <w:r>
        <w:t>7.1 Ne pas imposer un prélèvement en laboratoire</w:t>
      </w:r>
    </w:p>
    <w:p w14:paraId="61FD4F17" w14:textId="2DAA7B14" w:rsidR="00AB3867" w:rsidRDefault="00E71070">
      <w:pPr>
        <w:spacing w:before="80" w:after="100" w:line="276" w:lineRule="auto"/>
        <w:jc w:val="both"/>
      </w:pPr>
      <w:r>
        <w:t xml:space="preserve">Imposer un prélèvement en </w:t>
      </w:r>
      <w:r w:rsidR="00692A45">
        <w:t>laboratoire</w:t>
      </w:r>
      <w:r w:rsidR="00DF4B69">
        <w:t xml:space="preserve"> est inutile et coûteux. </w:t>
      </w:r>
      <w:r>
        <w:t>Le prélèvement salivaire</w:t>
      </w:r>
      <w:r w:rsidR="00754FFA">
        <w:t xml:space="preserve"> ou par écouvillon </w:t>
      </w:r>
      <w:r>
        <w:t xml:space="preserve">à domicile </w:t>
      </w:r>
      <w:r w:rsidR="00754FFA">
        <w:t xml:space="preserve">est aussi facile qu’un test </w:t>
      </w:r>
      <w:proofErr w:type="spellStart"/>
      <w:r w:rsidR="00E33B0B">
        <w:t>C</w:t>
      </w:r>
      <w:r w:rsidR="00754FFA">
        <w:t>ovid</w:t>
      </w:r>
      <w:proofErr w:type="spellEnd"/>
      <w:r>
        <w:t>. En outre,</w:t>
      </w:r>
      <w:r w:rsidR="00DF4B69">
        <w:t xml:space="preserve"> cela </w:t>
      </w:r>
      <w:r>
        <w:t>engendrerait un coût prohibitif (200 à 300 € minimum) qui inciterait les citoyens à continuer de commander des kits à l’étranger pour moins de 50 €, annulant tout bénéfice du cadre légal.</w:t>
      </w:r>
    </w:p>
    <w:p w14:paraId="4DD0014B" w14:textId="77777777" w:rsidR="00AB3867" w:rsidRDefault="00E71070">
      <w:pPr>
        <w:pStyle w:val="Titre2"/>
      </w:pPr>
      <w:r>
        <w:t>7.2 Ne pas réserver les tests aux seuls opérateurs publics</w:t>
      </w:r>
    </w:p>
    <w:p w14:paraId="3FCE6F37" w14:textId="505DC5D3" w:rsidR="00AB3867" w:rsidRDefault="00E71070">
      <w:pPr>
        <w:spacing w:before="80" w:after="100" w:line="276" w:lineRule="auto"/>
        <w:jc w:val="both"/>
      </w:pPr>
      <w:r>
        <w:t xml:space="preserve">Le CNAOP et la CAPADD ne disposent ni des bases de données, ni des capacités techniques nécessaires pour assurer ce service à grande échelle. Leur confier exclusivement cette mission </w:t>
      </w:r>
      <w:r w:rsidRPr="006F08AF">
        <w:rPr>
          <w:b/>
          <w:bCs/>
        </w:rPr>
        <w:t xml:space="preserve">laisserait sans réponse la majorité des situations, </w:t>
      </w:r>
      <w:r>
        <w:t>notamment les adoptions internationales et les PMA transfrontalières.</w:t>
      </w:r>
      <w:r w:rsidR="00776BCC">
        <w:t xml:space="preserve"> Tout dispositif trop lourd sera contourné.</w:t>
      </w:r>
    </w:p>
    <w:p w14:paraId="6D8D6A11" w14:textId="77777777" w:rsidR="00AB3867" w:rsidRDefault="00E71070">
      <w:pPr>
        <w:pStyle w:val="Titre2"/>
      </w:pPr>
      <w:r>
        <w:t>7.3 Ne pas créer une base de données franco-française</w:t>
      </w:r>
    </w:p>
    <w:p w14:paraId="652B0D41" w14:textId="074DA8E9" w:rsidR="00AB3867" w:rsidRDefault="00E71070">
      <w:pPr>
        <w:spacing w:before="80" w:after="100" w:line="276" w:lineRule="auto"/>
        <w:jc w:val="both"/>
      </w:pPr>
      <w:r>
        <w:t xml:space="preserve">L’efficacité d’une base de correspondances génétiques dépend directement de sa taille et de son ancienneté. Les bases déjà constituées par </w:t>
      </w:r>
      <w:proofErr w:type="spellStart"/>
      <w:r>
        <w:t>FamilyTreeDNA</w:t>
      </w:r>
      <w:proofErr w:type="spellEnd"/>
      <w:r>
        <w:t xml:space="preserve">, </w:t>
      </w:r>
      <w:proofErr w:type="spellStart"/>
      <w:r>
        <w:t>AncestryDNA</w:t>
      </w:r>
      <w:proofErr w:type="spellEnd"/>
      <w:r>
        <w:t xml:space="preserve"> ou </w:t>
      </w:r>
      <w:proofErr w:type="spellStart"/>
      <w:r>
        <w:t>MyHeritage</w:t>
      </w:r>
      <w:proofErr w:type="spellEnd"/>
      <w:r>
        <w:t xml:space="preserve"> réunissent des dizaines de millions de profils à l’échelle mondiale. Une base exclusivement française ne permettrait pas d’apporter de réponse aux adoptions internationales, aux PMA transfrontalières ou aux naissances sous X de ressortissantes étrangères</w:t>
      </w:r>
      <w:r w:rsidR="003B173B">
        <w:t xml:space="preserve"> (suisses notamment)</w:t>
      </w:r>
      <w:r>
        <w:t xml:space="preserve">, qui représentent une part significative des situations concernées. Il convient plutôt d’orienter les citoyens vers des opérateurs internationaux </w:t>
      </w:r>
      <w:r w:rsidR="002A3616">
        <w:t>fiables</w:t>
      </w:r>
      <w:r>
        <w:t xml:space="preserve"> et soumis au cadre légal.</w:t>
      </w:r>
    </w:p>
    <w:p w14:paraId="3FA852DA" w14:textId="77777777" w:rsidR="00AB3867" w:rsidRDefault="00AB3867">
      <w:pPr>
        <w:spacing w:after="200"/>
      </w:pPr>
    </w:p>
    <w:p w14:paraId="377F3FAD" w14:textId="77777777" w:rsidR="00AB3867" w:rsidRDefault="00E71070">
      <w:pPr>
        <w:pStyle w:val="Titre1"/>
      </w:pPr>
      <w:r>
        <w:t>Conclusion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AB3867" w14:paraId="4DB79535" w14:textId="77777777">
        <w:tc>
          <w:tcPr>
            <w:tcW w:w="9026" w:type="dxa"/>
            <w:tcBorders>
              <w:top w:val="single" w:sz="8" w:space="0" w:color="2E75B6"/>
              <w:left w:val="single" w:sz="24" w:space="0" w:color="2E75B6"/>
              <w:bottom w:val="single" w:sz="8" w:space="0" w:color="2E75B6"/>
            </w:tcBorders>
            <w:shd w:val="clear" w:color="auto" w:fill="D6E4F0"/>
            <w:tcMar>
              <w:top w:w="140" w:type="dxa"/>
              <w:left w:w="240" w:type="dxa"/>
              <w:bottom w:w="140" w:type="dxa"/>
              <w:right w:w="240" w:type="dxa"/>
            </w:tcMar>
          </w:tcPr>
          <w:p w14:paraId="27BA9874" w14:textId="77777777" w:rsidR="00AB3867" w:rsidRDefault="00E71070">
            <w:pPr>
              <w:spacing w:after="80"/>
              <w:jc w:val="both"/>
            </w:pPr>
            <w:r>
              <w:t xml:space="preserve">La France dispose aujourd’hui de </w:t>
            </w:r>
            <w:r w:rsidRPr="00F95B76">
              <w:rPr>
                <w:b/>
                <w:bCs/>
              </w:rPr>
              <w:t>deux options</w:t>
            </w:r>
            <w:r>
              <w:t> : maintenir une interdiction largement contournée qui prive les citoyens de toute protection effective, ou adopter un cadre légal strict, limité et protecteur qui fait entrer dans le droit une pratique déjà massive.</w:t>
            </w:r>
          </w:p>
          <w:p w14:paraId="3C77745B" w14:textId="00E1A451" w:rsidR="00AB3867" w:rsidRDefault="00E71070">
            <w:pPr>
              <w:jc w:val="both"/>
            </w:pPr>
            <w:r>
              <w:t>La proposition de loi n° 2312 propose une</w:t>
            </w:r>
            <w:r w:rsidRPr="00F95B76">
              <w:rPr>
                <w:b/>
                <w:bCs/>
              </w:rPr>
              <w:t xml:space="preserve"> réponse proportionnée</w:t>
            </w:r>
            <w:r>
              <w:t> : elle ne libéralise pas un marché, elle soumet une pratique existante à des garanties claires. Elle protège les données, protège les personnes, et rend effectif un droit fondamental reconnu</w:t>
            </w:r>
            <w:r w:rsidR="002A3616">
              <w:t xml:space="preserve"> en droit français ainsi que</w:t>
            </w:r>
            <w:r>
              <w:t xml:space="preserve"> par les textes européens et internationaux.</w:t>
            </w:r>
          </w:p>
        </w:tc>
      </w:tr>
    </w:tbl>
    <w:p w14:paraId="16E3FD67" w14:textId="77777777" w:rsidR="00AB3867" w:rsidRDefault="00AB3867">
      <w:pPr>
        <w:spacing w:after="200"/>
      </w:pPr>
    </w:p>
    <w:p w14:paraId="33883076" w14:textId="12F9CBFE" w:rsidR="00AB3867" w:rsidRDefault="0016250C" w:rsidP="00E514CB">
      <w:pPr>
        <w:spacing w:after="200"/>
      </w:pPr>
      <w:r>
        <w:t xml:space="preserve">La légalisation des tests ADN d’origines est </w:t>
      </w:r>
      <w:r w:rsidR="009B4CE7">
        <w:rPr>
          <w:b/>
          <w:bCs/>
        </w:rPr>
        <w:t>attendue</w:t>
      </w:r>
      <w:r>
        <w:t xml:space="preserve"> par un grand nombre de citoyens, associations et professionnels </w:t>
      </w:r>
      <w:r w:rsidR="00B12F8C">
        <w:t xml:space="preserve">concernés </w:t>
      </w:r>
      <w:r w:rsidR="006B0984">
        <w:t>comme</w:t>
      </w:r>
      <w:r w:rsidR="00B12F8C">
        <w:t xml:space="preserve"> </w:t>
      </w:r>
      <w:r w:rsidR="006B0984">
        <w:t xml:space="preserve"> en </w:t>
      </w:r>
      <w:r w:rsidR="00B12F8C">
        <w:t xml:space="preserve">témoigne cette </w:t>
      </w:r>
      <w:r w:rsidR="00B12F8C" w:rsidRPr="00B23FD1">
        <w:rPr>
          <w:b/>
          <w:bCs/>
        </w:rPr>
        <w:t>tribune</w:t>
      </w:r>
      <w:r w:rsidR="00B12F8C">
        <w:t xml:space="preserve"> parue en décembre 2025 dans le journal La Croix :</w:t>
      </w:r>
      <w:r w:rsidR="00E514CB" w:rsidRPr="00E514CB">
        <w:t xml:space="preserve"> </w:t>
      </w:r>
      <w:hyperlink r:id="rId7" w:history="1">
        <w:r w:rsidR="00E514CB" w:rsidRPr="00976CD3">
          <w:rPr>
            <w:rStyle w:val="Lienhypertexte"/>
          </w:rPr>
          <w:t>https://www.la-croix.com/a-vif/bioethique-l-heure-est-venue-de-legaliser-les-tests-adn-genealogiques-20251211</w:t>
        </w:r>
      </w:hyperlink>
    </w:p>
    <w:p w14:paraId="39FFA1E5" w14:textId="7A88A2CF" w:rsidR="009B4CE7" w:rsidRDefault="00E514CB" w:rsidP="009B4CE7">
      <w:pPr>
        <w:spacing w:after="200"/>
      </w:pPr>
      <w:r>
        <w:t xml:space="preserve">Et la liste des </w:t>
      </w:r>
      <w:r w:rsidRPr="00503339">
        <w:rPr>
          <w:b/>
          <w:bCs/>
        </w:rPr>
        <w:t>signataires</w:t>
      </w:r>
      <w:r>
        <w:t xml:space="preserve"> : </w:t>
      </w:r>
      <w:hyperlink r:id="rId8" w:history="1">
        <w:r w:rsidR="009B4CE7" w:rsidRPr="00976CD3">
          <w:rPr>
            <w:rStyle w:val="Lienhypertexte"/>
          </w:rPr>
          <w:t>https://associationorigines.com/2025/12/10/lheure-est-venue-de-legaliser-les-tests-adn-genealogiques/</w:t>
        </w:r>
      </w:hyperlink>
    </w:p>
    <w:p w14:paraId="0AB7F6E9" w14:textId="7002E45C" w:rsidR="00AB3867" w:rsidRDefault="00E71070" w:rsidP="009B4CE7">
      <w:pPr>
        <w:spacing w:after="200"/>
      </w:pPr>
      <w:r>
        <w:rPr>
          <w:b/>
          <w:bCs/>
          <w:color w:val="666666"/>
          <w:sz w:val="19"/>
          <w:szCs w:val="19"/>
        </w:rPr>
        <w:t>Sources et références</w:t>
      </w:r>
    </w:p>
    <w:p w14:paraId="4E880C87" w14:textId="77777777" w:rsidR="00AB3867" w:rsidRDefault="00E71070">
      <w:pPr>
        <w:spacing w:before="40" w:after="40"/>
        <w:ind w:left="360"/>
        <w:jc w:val="both"/>
      </w:pPr>
      <w:r>
        <w:rPr>
          <w:sz w:val="18"/>
          <w:szCs w:val="18"/>
        </w:rPr>
        <w:t>1 CNIL, avis relatif aux tests génétiques en accès direct ; CESE, rapport sur les tests génétiques grand public.</w:t>
      </w:r>
    </w:p>
    <w:p w14:paraId="5455869C" w14:textId="77777777" w:rsidR="00AB3867" w:rsidRDefault="00E71070">
      <w:pPr>
        <w:spacing w:before="40" w:after="40"/>
        <w:ind w:left="360"/>
        <w:jc w:val="both"/>
      </w:pPr>
      <w:r>
        <w:rPr>
          <w:sz w:val="18"/>
          <w:szCs w:val="18"/>
        </w:rPr>
        <w:t>2 Rapport d’activité de la CAPADD 2024-2025, p. 15 ; Rapport d’activité du CNAOP 2024, p. 29 et 32.</w:t>
      </w:r>
    </w:p>
    <w:p w14:paraId="7019FA44" w14:textId="77777777" w:rsidR="00AB3867" w:rsidRDefault="00E71070">
      <w:pPr>
        <w:spacing w:before="40" w:after="40"/>
        <w:ind w:left="360"/>
        <w:jc w:val="both"/>
      </w:pPr>
      <w:r>
        <w:rPr>
          <w:sz w:val="18"/>
          <w:szCs w:val="18"/>
        </w:rPr>
        <w:t>3 Rapport IGAS 2024 sur les recherches d’origines via les réseaux sociaux et les tests ADN.</w:t>
      </w:r>
    </w:p>
    <w:p w14:paraId="2FA2FC9D" w14:textId="77777777" w:rsidR="00AB3867" w:rsidRDefault="00E71070">
      <w:pPr>
        <w:spacing w:before="40" w:after="40"/>
        <w:ind w:left="360"/>
        <w:jc w:val="both"/>
      </w:pPr>
      <w:r>
        <w:rPr>
          <w:sz w:val="18"/>
          <w:szCs w:val="18"/>
        </w:rPr>
        <w:t xml:space="preserve">4 RGPD, considérant 23 ; CJUE, affaires </w:t>
      </w:r>
      <w:proofErr w:type="spellStart"/>
      <w:r>
        <w:rPr>
          <w:sz w:val="18"/>
          <w:szCs w:val="18"/>
        </w:rPr>
        <w:t>Pammer</w:t>
      </w:r>
      <w:proofErr w:type="spellEnd"/>
      <w:r>
        <w:rPr>
          <w:sz w:val="18"/>
          <w:szCs w:val="18"/>
        </w:rPr>
        <w:t xml:space="preserve"> et </w:t>
      </w:r>
      <w:proofErr w:type="spellStart"/>
      <w:r>
        <w:rPr>
          <w:sz w:val="18"/>
          <w:szCs w:val="18"/>
        </w:rPr>
        <w:t>Hotel</w:t>
      </w:r>
      <w:proofErr w:type="spellEnd"/>
      <w:r>
        <w:rPr>
          <w:sz w:val="18"/>
          <w:szCs w:val="18"/>
        </w:rPr>
        <w:t xml:space="preserve"> </w:t>
      </w:r>
      <w:proofErr w:type="spellStart"/>
      <w:r>
        <w:rPr>
          <w:sz w:val="18"/>
          <w:szCs w:val="18"/>
        </w:rPr>
        <w:t>Alpenhof</w:t>
      </w:r>
      <w:proofErr w:type="spellEnd"/>
      <w:r>
        <w:rPr>
          <w:sz w:val="18"/>
          <w:szCs w:val="18"/>
        </w:rPr>
        <w:t> ; EDPB, lignes directrices 3/2018 sur le champ d’application territorial du RGPD.</w:t>
      </w:r>
    </w:p>
    <w:p w14:paraId="1AC1DAE5" w14:textId="77777777" w:rsidR="00AB3867" w:rsidRDefault="00E71070">
      <w:pPr>
        <w:spacing w:before="40" w:after="40"/>
        <w:ind w:left="360"/>
        <w:jc w:val="both"/>
      </w:pPr>
      <w:r>
        <w:rPr>
          <w:sz w:val="18"/>
          <w:szCs w:val="18"/>
        </w:rPr>
        <w:t>5 Mission interministérielle relative aux pratiques illicites dans l’adoption internationale, octobre 2023, recommandation n° 8.</w:t>
      </w:r>
    </w:p>
    <w:p w14:paraId="19F73E16" w14:textId="77777777" w:rsidR="00AB3867" w:rsidRDefault="00E71070">
      <w:pPr>
        <w:spacing w:before="40" w:after="40"/>
        <w:ind w:left="360"/>
        <w:jc w:val="both"/>
        <w:rPr>
          <w:sz w:val="18"/>
          <w:szCs w:val="18"/>
        </w:rPr>
      </w:pPr>
      <w:r>
        <w:rPr>
          <w:sz w:val="18"/>
          <w:szCs w:val="18"/>
        </w:rPr>
        <w:t>6 Décret fondateur de l’</w:t>
      </w:r>
      <w:proofErr w:type="spellStart"/>
      <w:r>
        <w:rPr>
          <w:sz w:val="18"/>
          <w:szCs w:val="18"/>
        </w:rPr>
        <w:t>Afstammingscentrum</w:t>
      </w:r>
      <w:proofErr w:type="spellEnd"/>
      <w:r>
        <w:rPr>
          <w:sz w:val="18"/>
          <w:szCs w:val="18"/>
        </w:rPr>
        <w:t xml:space="preserve"> du 26 avril 2019 (Flandre) ; INEA, Pays-Bas, mars 2023 ; HFEA, Royaume-Uni.</w:t>
      </w:r>
    </w:p>
    <w:p w14:paraId="16C436B5" w14:textId="77777777" w:rsidR="00764CFA" w:rsidRDefault="00764CFA">
      <w:pPr>
        <w:spacing w:before="40" w:after="40"/>
        <w:ind w:left="360"/>
        <w:jc w:val="both"/>
      </w:pPr>
    </w:p>
    <w:sectPr w:rsidR="00764CFA">
      <w:pgSz w:w="11906" w:h="16838"/>
      <w:pgMar w:top="1134" w:right="1134" w:bottom="1134" w:left="1417"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3455C"/>
    <w:multiLevelType w:val="hybridMultilevel"/>
    <w:tmpl w:val="FFFFFFFF"/>
    <w:lvl w:ilvl="0" w:tplc="227A29F2">
      <w:start w:val="1"/>
      <w:numFmt w:val="decimal"/>
      <w:lvlText w:val="%1."/>
      <w:lvlJc w:val="left"/>
      <w:pPr>
        <w:ind w:left="720" w:hanging="360"/>
      </w:pPr>
    </w:lvl>
    <w:lvl w:ilvl="1" w:tplc="879CFCF2">
      <w:numFmt w:val="decimal"/>
      <w:lvlText w:val=""/>
      <w:lvlJc w:val="left"/>
    </w:lvl>
    <w:lvl w:ilvl="2" w:tplc="5F666108">
      <w:numFmt w:val="decimal"/>
      <w:lvlText w:val=""/>
      <w:lvlJc w:val="left"/>
    </w:lvl>
    <w:lvl w:ilvl="3" w:tplc="F20AF920">
      <w:numFmt w:val="decimal"/>
      <w:lvlText w:val=""/>
      <w:lvlJc w:val="left"/>
    </w:lvl>
    <w:lvl w:ilvl="4" w:tplc="F0BC07C8">
      <w:numFmt w:val="decimal"/>
      <w:lvlText w:val=""/>
      <w:lvlJc w:val="left"/>
    </w:lvl>
    <w:lvl w:ilvl="5" w:tplc="C1B6DAC6">
      <w:numFmt w:val="decimal"/>
      <w:lvlText w:val=""/>
      <w:lvlJc w:val="left"/>
    </w:lvl>
    <w:lvl w:ilvl="6" w:tplc="667E508A">
      <w:numFmt w:val="decimal"/>
      <w:lvlText w:val=""/>
      <w:lvlJc w:val="left"/>
    </w:lvl>
    <w:lvl w:ilvl="7" w:tplc="1C58A918">
      <w:numFmt w:val="decimal"/>
      <w:lvlText w:val=""/>
      <w:lvlJc w:val="left"/>
    </w:lvl>
    <w:lvl w:ilvl="8" w:tplc="6A48C5BA">
      <w:numFmt w:val="decimal"/>
      <w:lvlText w:val=""/>
      <w:lvlJc w:val="left"/>
    </w:lvl>
  </w:abstractNum>
  <w:abstractNum w:abstractNumId="1" w15:restartNumberingAfterBreak="0">
    <w:nsid w:val="208B2453"/>
    <w:multiLevelType w:val="hybridMultilevel"/>
    <w:tmpl w:val="FFFFFFFF"/>
    <w:lvl w:ilvl="0" w:tplc="87986056">
      <w:start w:val="1"/>
      <w:numFmt w:val="bullet"/>
      <w:lvlText w:val="◦"/>
      <w:lvlJc w:val="left"/>
      <w:pPr>
        <w:ind w:left="1080" w:hanging="360"/>
      </w:pPr>
    </w:lvl>
    <w:lvl w:ilvl="1" w:tplc="3D24EC68">
      <w:numFmt w:val="decimal"/>
      <w:lvlText w:val=""/>
      <w:lvlJc w:val="left"/>
    </w:lvl>
    <w:lvl w:ilvl="2" w:tplc="061E25FE">
      <w:numFmt w:val="decimal"/>
      <w:lvlText w:val=""/>
      <w:lvlJc w:val="left"/>
    </w:lvl>
    <w:lvl w:ilvl="3" w:tplc="D21AE06C">
      <w:numFmt w:val="decimal"/>
      <w:lvlText w:val=""/>
      <w:lvlJc w:val="left"/>
    </w:lvl>
    <w:lvl w:ilvl="4" w:tplc="0CF46980">
      <w:numFmt w:val="decimal"/>
      <w:lvlText w:val=""/>
      <w:lvlJc w:val="left"/>
    </w:lvl>
    <w:lvl w:ilvl="5" w:tplc="EF0AD4C8">
      <w:numFmt w:val="decimal"/>
      <w:lvlText w:val=""/>
      <w:lvlJc w:val="left"/>
    </w:lvl>
    <w:lvl w:ilvl="6" w:tplc="8F1CCA4A">
      <w:numFmt w:val="decimal"/>
      <w:lvlText w:val=""/>
      <w:lvlJc w:val="left"/>
    </w:lvl>
    <w:lvl w:ilvl="7" w:tplc="1874879C">
      <w:numFmt w:val="decimal"/>
      <w:lvlText w:val=""/>
      <w:lvlJc w:val="left"/>
    </w:lvl>
    <w:lvl w:ilvl="8" w:tplc="0F84A22C">
      <w:numFmt w:val="decimal"/>
      <w:lvlText w:val=""/>
      <w:lvlJc w:val="left"/>
    </w:lvl>
  </w:abstractNum>
  <w:abstractNum w:abstractNumId="2" w15:restartNumberingAfterBreak="0">
    <w:nsid w:val="44D15985"/>
    <w:multiLevelType w:val="hybridMultilevel"/>
    <w:tmpl w:val="FFFFFFFF"/>
    <w:lvl w:ilvl="0" w:tplc="3C0E3562">
      <w:start w:val="1"/>
      <w:numFmt w:val="bullet"/>
      <w:lvlText w:val="•"/>
      <w:lvlJc w:val="left"/>
      <w:pPr>
        <w:ind w:left="640" w:hanging="320"/>
      </w:pPr>
    </w:lvl>
    <w:lvl w:ilvl="1" w:tplc="71B81266">
      <w:numFmt w:val="decimal"/>
      <w:lvlText w:val=""/>
      <w:lvlJc w:val="left"/>
    </w:lvl>
    <w:lvl w:ilvl="2" w:tplc="2F320ACE">
      <w:numFmt w:val="decimal"/>
      <w:lvlText w:val=""/>
      <w:lvlJc w:val="left"/>
    </w:lvl>
    <w:lvl w:ilvl="3" w:tplc="C7FCC14A">
      <w:numFmt w:val="decimal"/>
      <w:lvlText w:val=""/>
      <w:lvlJc w:val="left"/>
    </w:lvl>
    <w:lvl w:ilvl="4" w:tplc="D83CF6F4">
      <w:numFmt w:val="decimal"/>
      <w:lvlText w:val=""/>
      <w:lvlJc w:val="left"/>
    </w:lvl>
    <w:lvl w:ilvl="5" w:tplc="7F265CC4">
      <w:numFmt w:val="decimal"/>
      <w:lvlText w:val=""/>
      <w:lvlJc w:val="left"/>
    </w:lvl>
    <w:lvl w:ilvl="6" w:tplc="3EF832A8">
      <w:numFmt w:val="decimal"/>
      <w:lvlText w:val=""/>
      <w:lvlJc w:val="left"/>
    </w:lvl>
    <w:lvl w:ilvl="7" w:tplc="D8D4C706">
      <w:numFmt w:val="decimal"/>
      <w:lvlText w:val=""/>
      <w:lvlJc w:val="left"/>
    </w:lvl>
    <w:lvl w:ilvl="8" w:tplc="E848D026">
      <w:numFmt w:val="decimal"/>
      <w:lvlText w:val=""/>
      <w:lvlJc w:val="left"/>
    </w:lvl>
  </w:abstractNum>
  <w:abstractNum w:abstractNumId="3" w15:restartNumberingAfterBreak="0">
    <w:nsid w:val="60F84550"/>
    <w:multiLevelType w:val="hybridMultilevel"/>
    <w:tmpl w:val="FFFFFFFF"/>
    <w:lvl w:ilvl="0" w:tplc="C218A108">
      <w:start w:val="1"/>
      <w:numFmt w:val="bullet"/>
      <w:lvlText w:val="●"/>
      <w:lvlJc w:val="left"/>
      <w:pPr>
        <w:ind w:left="720" w:hanging="360"/>
      </w:pPr>
    </w:lvl>
    <w:lvl w:ilvl="1" w:tplc="27565BC0">
      <w:start w:val="1"/>
      <w:numFmt w:val="bullet"/>
      <w:lvlText w:val="○"/>
      <w:lvlJc w:val="left"/>
      <w:pPr>
        <w:ind w:left="1440" w:hanging="360"/>
      </w:pPr>
    </w:lvl>
    <w:lvl w:ilvl="2" w:tplc="4940B268">
      <w:start w:val="1"/>
      <w:numFmt w:val="bullet"/>
      <w:lvlText w:val="■"/>
      <w:lvlJc w:val="left"/>
      <w:pPr>
        <w:ind w:left="2160" w:hanging="360"/>
      </w:pPr>
    </w:lvl>
    <w:lvl w:ilvl="3" w:tplc="D034F810">
      <w:start w:val="1"/>
      <w:numFmt w:val="bullet"/>
      <w:lvlText w:val="●"/>
      <w:lvlJc w:val="left"/>
      <w:pPr>
        <w:ind w:left="2880" w:hanging="360"/>
      </w:pPr>
    </w:lvl>
    <w:lvl w:ilvl="4" w:tplc="056A0454">
      <w:start w:val="1"/>
      <w:numFmt w:val="bullet"/>
      <w:lvlText w:val="○"/>
      <w:lvlJc w:val="left"/>
      <w:pPr>
        <w:ind w:left="3600" w:hanging="360"/>
      </w:pPr>
    </w:lvl>
    <w:lvl w:ilvl="5" w:tplc="4E58EDEE">
      <w:start w:val="1"/>
      <w:numFmt w:val="bullet"/>
      <w:lvlText w:val="■"/>
      <w:lvlJc w:val="left"/>
      <w:pPr>
        <w:ind w:left="4320" w:hanging="360"/>
      </w:pPr>
    </w:lvl>
    <w:lvl w:ilvl="6" w:tplc="89F4FF68">
      <w:start w:val="1"/>
      <w:numFmt w:val="bullet"/>
      <w:lvlText w:val="●"/>
      <w:lvlJc w:val="left"/>
      <w:pPr>
        <w:ind w:left="5040" w:hanging="360"/>
      </w:pPr>
    </w:lvl>
    <w:lvl w:ilvl="7" w:tplc="EEAA8F8A">
      <w:start w:val="1"/>
      <w:numFmt w:val="bullet"/>
      <w:lvlText w:val="●"/>
      <w:lvlJc w:val="left"/>
      <w:pPr>
        <w:ind w:left="5760" w:hanging="360"/>
      </w:pPr>
    </w:lvl>
    <w:lvl w:ilvl="8" w:tplc="48DA6A9E">
      <w:start w:val="1"/>
      <w:numFmt w:val="bullet"/>
      <w:lvlText w:val="●"/>
      <w:lvlJc w:val="left"/>
      <w:pPr>
        <w:ind w:left="6480" w:hanging="360"/>
      </w:pPr>
    </w:lvl>
  </w:abstractNum>
  <w:num w:numId="1" w16cid:durableId="157118990">
    <w:abstractNumId w:val="3"/>
    <w:lvlOverride w:ilvl="0">
      <w:startOverride w:val="1"/>
    </w:lvlOverride>
  </w:num>
  <w:num w:numId="2" w16cid:durableId="1726643371">
    <w:abstractNumId w:val="2"/>
    <w:lvlOverride w:ilvl="0">
      <w:startOverride w:val="1"/>
    </w:lvlOverride>
  </w:num>
  <w:num w:numId="3" w16cid:durableId="9928773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displayBackgroundShape/>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867"/>
    <w:rsid w:val="00010BBD"/>
    <w:rsid w:val="00015F21"/>
    <w:rsid w:val="00017D32"/>
    <w:rsid w:val="000B05F5"/>
    <w:rsid w:val="000D3FC6"/>
    <w:rsid w:val="000E2A40"/>
    <w:rsid w:val="0010085C"/>
    <w:rsid w:val="00113803"/>
    <w:rsid w:val="0013337B"/>
    <w:rsid w:val="0016250C"/>
    <w:rsid w:val="0018212D"/>
    <w:rsid w:val="001C18FA"/>
    <w:rsid w:val="001D5BE6"/>
    <w:rsid w:val="00202F31"/>
    <w:rsid w:val="002052DD"/>
    <w:rsid w:val="002421D3"/>
    <w:rsid w:val="00282CDD"/>
    <w:rsid w:val="002A3616"/>
    <w:rsid w:val="002A3D70"/>
    <w:rsid w:val="002E1C2C"/>
    <w:rsid w:val="0036150E"/>
    <w:rsid w:val="00384765"/>
    <w:rsid w:val="003B173B"/>
    <w:rsid w:val="003D63E9"/>
    <w:rsid w:val="00414C7B"/>
    <w:rsid w:val="00417CB8"/>
    <w:rsid w:val="00432996"/>
    <w:rsid w:val="004377BA"/>
    <w:rsid w:val="004F1D84"/>
    <w:rsid w:val="00503339"/>
    <w:rsid w:val="005770B9"/>
    <w:rsid w:val="005B1456"/>
    <w:rsid w:val="005F0EB1"/>
    <w:rsid w:val="00602E6A"/>
    <w:rsid w:val="0061325B"/>
    <w:rsid w:val="00630E4A"/>
    <w:rsid w:val="0065202B"/>
    <w:rsid w:val="00692A45"/>
    <w:rsid w:val="006B0984"/>
    <w:rsid w:val="006D25A8"/>
    <w:rsid w:val="006D5B4C"/>
    <w:rsid w:val="006E21DD"/>
    <w:rsid w:val="006F08AF"/>
    <w:rsid w:val="007042AE"/>
    <w:rsid w:val="007043EB"/>
    <w:rsid w:val="0073102E"/>
    <w:rsid w:val="00754FFA"/>
    <w:rsid w:val="00764CFA"/>
    <w:rsid w:val="00776BCC"/>
    <w:rsid w:val="00783EE5"/>
    <w:rsid w:val="007E7BB5"/>
    <w:rsid w:val="00807F68"/>
    <w:rsid w:val="0084555D"/>
    <w:rsid w:val="00880D3D"/>
    <w:rsid w:val="00900CF8"/>
    <w:rsid w:val="009533BC"/>
    <w:rsid w:val="009B4CE7"/>
    <w:rsid w:val="009D4EAE"/>
    <w:rsid w:val="009E0CF3"/>
    <w:rsid w:val="00A05B91"/>
    <w:rsid w:val="00A17419"/>
    <w:rsid w:val="00A7124F"/>
    <w:rsid w:val="00AB1330"/>
    <w:rsid w:val="00AB3867"/>
    <w:rsid w:val="00B12F8C"/>
    <w:rsid w:val="00B23FD1"/>
    <w:rsid w:val="00B31BF7"/>
    <w:rsid w:val="00B855ED"/>
    <w:rsid w:val="00B964D2"/>
    <w:rsid w:val="00BA0756"/>
    <w:rsid w:val="00BB4AE8"/>
    <w:rsid w:val="00BC3F3A"/>
    <w:rsid w:val="00BD63F0"/>
    <w:rsid w:val="00C32164"/>
    <w:rsid w:val="00C4387E"/>
    <w:rsid w:val="00C9328C"/>
    <w:rsid w:val="00CA230F"/>
    <w:rsid w:val="00CA38D1"/>
    <w:rsid w:val="00D1047F"/>
    <w:rsid w:val="00D42F11"/>
    <w:rsid w:val="00DA1261"/>
    <w:rsid w:val="00DB21E9"/>
    <w:rsid w:val="00DB46A2"/>
    <w:rsid w:val="00DE34AD"/>
    <w:rsid w:val="00DE519A"/>
    <w:rsid w:val="00DE62D3"/>
    <w:rsid w:val="00DF4B69"/>
    <w:rsid w:val="00E33B0B"/>
    <w:rsid w:val="00E435D9"/>
    <w:rsid w:val="00E514CB"/>
    <w:rsid w:val="00E71070"/>
    <w:rsid w:val="00EC6712"/>
    <w:rsid w:val="00F900F6"/>
    <w:rsid w:val="00F95B76"/>
    <w:rsid w:val="00FA27DF"/>
    <w:rsid w:val="00FB4B56"/>
    <w:rsid w:val="00FB4F1C"/>
    <w:rsid w:val="00FB70EB"/>
    <w:rsid w:val="00FE3C4A"/>
    <w:rsid w:val="00FE46D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decimalSymbol w:val=","/>
  <w:listSeparator w:val=";"/>
  <w14:docId w14:val="43174A41"/>
  <w15:docId w15:val="{88899273-6DE1-2A42-8E9B-A4D51CC46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spacing w:before="320" w:after="160"/>
      <w:outlineLvl w:val="0"/>
    </w:pPr>
    <w:rPr>
      <w:b/>
      <w:bCs/>
      <w:color w:val="1F4E79"/>
      <w:sz w:val="28"/>
      <w:szCs w:val="28"/>
    </w:rPr>
  </w:style>
  <w:style w:type="paragraph" w:styleId="Titre2">
    <w:name w:val="heading 2"/>
    <w:uiPriority w:val="9"/>
    <w:unhideWhenUsed/>
    <w:qFormat/>
    <w:pPr>
      <w:spacing w:before="220" w:after="100"/>
      <w:outlineLvl w:val="1"/>
    </w:pPr>
    <w:rPr>
      <w:b/>
      <w:bCs/>
      <w:color w:val="2E75B6"/>
      <w:sz w:val="24"/>
      <w:szCs w:val="24"/>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link w:val="TitreCar"/>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rPr>
      <w:sz w:val="20"/>
      <w:szCs w:val="20"/>
    </w:rPr>
  </w:style>
  <w:style w:type="character" w:customStyle="1" w:styleId="NotedefinCar">
    <w:name w:val="Note de fin Car"/>
    <w:link w:val="Notedefin"/>
    <w:uiPriority w:val="99"/>
    <w:semiHidden/>
    <w:unhideWhenUsed/>
    <w:rPr>
      <w:sz w:val="20"/>
      <w:szCs w:val="20"/>
    </w:rPr>
  </w:style>
  <w:style w:type="character" w:customStyle="1" w:styleId="TitreCar">
    <w:name w:val="Titre Car"/>
    <w:basedOn w:val="Policepardfaut"/>
    <w:link w:val="Titre"/>
    <w:uiPriority w:val="10"/>
    <w:rsid w:val="001D5BE6"/>
    <w:rPr>
      <w:sz w:val="56"/>
      <w:szCs w:val="56"/>
    </w:rPr>
  </w:style>
  <w:style w:type="character" w:styleId="Mentionnonrsolue">
    <w:name w:val="Unresolved Mention"/>
    <w:basedOn w:val="Policepardfaut"/>
    <w:uiPriority w:val="99"/>
    <w:semiHidden/>
    <w:unhideWhenUsed/>
    <w:rsid w:val="001821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associationorigines.com/2025/12/10/lheure-est-venue-de-legaliser-les-tests-adn-genealogiques/" TargetMode="External" /><Relationship Id="rId3" Type="http://schemas.openxmlformats.org/officeDocument/2006/relationships/settings" Target="settings.xml" /><Relationship Id="rId7" Type="http://schemas.openxmlformats.org/officeDocument/2006/relationships/hyperlink" Target="https://www.la-croix.com/a-vif/bioethique-l-heure-est-venue-de-legaliser-les-tests-adn-genealogiques-20251211"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www.france-enfance-protegee.fr/cnaop/rapports-activite/" TargetMode="External" /><Relationship Id="rId5" Type="http://schemas.openxmlformats.org/officeDocument/2006/relationships/hyperlink" Target="https://www.vie-publique.fr/rapport/300235-capadd-personnes-nees-sous-assistance-medicale-rapport-annuel-2024-2025" TargetMode="Externa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2464</Words>
  <Characters>13557</Characters>
  <Application>Microsoft Office Word</Application>
  <DocSecurity>0</DocSecurity>
  <Lines>112</Lines>
  <Paragraphs>31</Paragraphs>
  <ScaleCrop>false</ScaleCrop>
  <Company/>
  <LinksUpToDate>false</LinksUpToDate>
  <CharactersWithSpaces>15990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Arthur Fournis</cp:lastModifiedBy>
  <cp:revision>2</cp:revision>
  <dcterms:created xsi:type="dcterms:W3CDTF">2026-06-01T07:51:00Z</dcterms:created>
  <dcterms:modified xsi:type="dcterms:W3CDTF">2026-06-01T07:51:00Z</dcterms:modified>
</cp:coreProperties>
</file>